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30"/>
        </w:tabs>
        <w:jc w:val="center"/>
        <w:outlineLvl w:val="0"/>
        <w:rPr>
          <w:rFonts w:ascii="黑体" w:hAnsi="黑体" w:eastAsia="黑体" w:cs="黑体"/>
          <w:bCs/>
          <w:sz w:val="44"/>
          <w:szCs w:val="44"/>
        </w:rPr>
      </w:pPr>
      <w:r>
        <w:rPr>
          <w:rFonts w:hint="eastAsia" w:ascii="黑体" w:hAnsi="黑体" w:eastAsia="黑体" w:cs="黑体"/>
          <w:bCs/>
          <w:sz w:val="44"/>
          <w:szCs w:val="44"/>
        </w:rPr>
        <w:t>贵州银行“贵银恒利黔多多”理财产品</w:t>
      </w:r>
    </w:p>
    <w:p>
      <w:pPr>
        <w:tabs>
          <w:tab w:val="left" w:pos="2730"/>
        </w:tabs>
        <w:jc w:val="center"/>
        <w:outlineLvl w:val="0"/>
        <w:rPr>
          <w:rFonts w:ascii="黑体" w:hAnsi="黑体" w:eastAsia="黑体" w:cs="黑体"/>
          <w:bCs/>
          <w:sz w:val="44"/>
          <w:szCs w:val="44"/>
        </w:rPr>
      </w:pPr>
      <w:r>
        <w:rPr>
          <w:rFonts w:hint="eastAsia" w:ascii="黑体" w:hAnsi="黑体" w:eastAsia="黑体" w:cs="黑体"/>
          <w:bCs/>
          <w:sz w:val="44"/>
          <w:szCs w:val="44"/>
        </w:rPr>
        <w:t>信息说明书</w:t>
      </w:r>
      <w:bookmarkStart w:id="0" w:name="_GoBack"/>
      <w:bookmarkEnd w:id="0"/>
    </w:p>
    <w:p>
      <w:pPr>
        <w:spacing w:line="420" w:lineRule="exact"/>
        <w:jc w:val="center"/>
        <w:outlineLvl w:val="0"/>
        <w:rPr>
          <w:rFonts w:ascii="宋体" w:hAnsi="宋体" w:cs="宋体"/>
          <w:b/>
          <w:sz w:val="24"/>
          <w:szCs w:val="24"/>
        </w:rPr>
      </w:pPr>
      <w:r>
        <w:rPr>
          <w:rFonts w:hint="eastAsia" w:ascii="宋体" w:hAnsi="宋体" w:cs="宋体"/>
          <w:b/>
          <w:sz w:val="24"/>
          <w:szCs w:val="24"/>
        </w:rPr>
        <w:t>产品登记编码：</w:t>
      </w:r>
      <w:r>
        <w:rPr>
          <w:rFonts w:ascii="宋体" w:hAnsi="宋体" w:cs="宋体"/>
          <w:b/>
          <w:sz w:val="24"/>
          <w:szCs w:val="24"/>
        </w:rPr>
        <w:t>C1210923000002</w:t>
      </w:r>
    </w:p>
    <w:p>
      <w:pPr>
        <w:spacing w:line="420" w:lineRule="exact"/>
        <w:jc w:val="center"/>
        <w:outlineLvl w:val="0"/>
        <w:rPr>
          <w:rFonts w:ascii="宋体" w:hAnsi="宋体" w:cs="宋体"/>
          <w:b/>
          <w:sz w:val="24"/>
          <w:szCs w:val="24"/>
        </w:rPr>
      </w:pPr>
      <w:r>
        <w:rPr>
          <w:rFonts w:hint="eastAsia" w:ascii="宋体" w:hAnsi="宋体" w:cs="宋体"/>
          <w:b/>
          <w:sz w:val="24"/>
          <w:szCs w:val="24"/>
        </w:rPr>
        <w:t>产品代码：</w:t>
      </w:r>
      <w:r>
        <w:rPr>
          <w:rFonts w:ascii="宋体" w:hAnsi="宋体" w:cs="宋体"/>
          <w:b/>
          <w:sz w:val="24"/>
          <w:szCs w:val="24"/>
        </w:rPr>
        <w:t>LC202303</w:t>
      </w:r>
    </w:p>
    <w:p>
      <w:pPr>
        <w:spacing w:line="360" w:lineRule="auto"/>
        <w:jc w:val="center"/>
        <w:outlineLvl w:val="0"/>
        <w:rPr>
          <w:rFonts w:hint="default" w:ascii="宋体" w:hAnsi="宋体" w:eastAsia="宋体" w:cs="宋体"/>
          <w:b/>
          <w:sz w:val="24"/>
          <w:szCs w:val="24"/>
          <w:lang w:val="en-US" w:eastAsia="zh-CN"/>
        </w:rPr>
      </w:pPr>
      <w:r>
        <w:rPr>
          <w:rFonts w:hint="eastAsia" w:ascii="宋体" w:hAnsi="宋体" w:cs="宋体"/>
          <w:b/>
          <w:sz w:val="24"/>
          <w:szCs w:val="24"/>
        </w:rPr>
        <w:t>版本：V</w:t>
      </w:r>
      <w:r>
        <w:rPr>
          <w:rFonts w:hint="eastAsia" w:ascii="宋体" w:hAnsi="宋体" w:cs="宋体"/>
          <w:b/>
          <w:sz w:val="24"/>
          <w:szCs w:val="24"/>
          <w:lang w:val="en-US" w:eastAsia="zh-CN"/>
        </w:rPr>
        <w:t>3</w:t>
      </w:r>
      <w:r>
        <w:rPr>
          <w:rFonts w:ascii="宋体" w:hAnsi="宋体" w:cs="宋体"/>
          <w:b/>
          <w:sz w:val="24"/>
          <w:szCs w:val="24"/>
        </w:rPr>
        <w:t>.</w:t>
      </w:r>
      <w:r>
        <w:rPr>
          <w:rFonts w:hint="eastAsia" w:ascii="宋体" w:hAnsi="宋体" w:cs="宋体"/>
          <w:b/>
          <w:sz w:val="24"/>
          <w:szCs w:val="24"/>
        </w:rPr>
        <w:t>1-</w:t>
      </w:r>
      <w:r>
        <w:rPr>
          <w:rFonts w:ascii="宋体" w:hAnsi="宋体" w:cs="宋体"/>
          <w:b/>
          <w:sz w:val="24"/>
          <w:szCs w:val="24"/>
        </w:rPr>
        <w:t>20</w:t>
      </w:r>
      <w:r>
        <w:rPr>
          <w:rFonts w:hint="eastAsia" w:ascii="宋体" w:hAnsi="宋体" w:cs="宋体"/>
          <w:b/>
          <w:sz w:val="24"/>
          <w:szCs w:val="24"/>
        </w:rPr>
        <w:t>24.</w:t>
      </w:r>
      <w:r>
        <w:rPr>
          <w:rFonts w:hint="eastAsia" w:ascii="宋体" w:hAnsi="宋体" w:cs="宋体"/>
          <w:b/>
          <w:sz w:val="24"/>
          <w:szCs w:val="24"/>
          <w:lang w:val="en-US" w:eastAsia="zh-CN"/>
        </w:rPr>
        <w:t>12</w:t>
      </w:r>
    </w:p>
    <w:p>
      <w:pPr>
        <w:jc w:val="left"/>
        <w:rPr>
          <w:rFonts w:ascii="黑体" w:hAnsi="黑体" w:eastAsia="黑体" w:cs="黑体"/>
          <w:b/>
          <w:sz w:val="24"/>
          <w:szCs w:val="24"/>
        </w:rPr>
      </w:pPr>
    </w:p>
    <w:p>
      <w:pPr>
        <w:spacing w:line="360" w:lineRule="auto"/>
        <w:jc w:val="left"/>
        <w:rPr>
          <w:rFonts w:ascii="黑体" w:hAnsi="黑体" w:eastAsia="黑体" w:cs="黑体"/>
          <w:b/>
          <w:sz w:val="24"/>
          <w:szCs w:val="24"/>
        </w:rPr>
      </w:pPr>
      <w:r>
        <w:rPr>
          <w:rFonts w:hint="eastAsia" w:ascii="黑体" w:hAnsi="黑体" w:eastAsia="黑体" w:cs="黑体"/>
          <w:b/>
          <w:sz w:val="24"/>
          <w:szCs w:val="24"/>
        </w:rPr>
        <w:t>尊敬的投资者：</w:t>
      </w:r>
    </w:p>
    <w:p>
      <w:pPr>
        <w:spacing w:line="360" w:lineRule="auto"/>
        <w:ind w:firstLine="482" w:firstLineChars="200"/>
        <w:jc w:val="left"/>
        <w:rPr>
          <w:rFonts w:ascii="黑体" w:hAnsi="黑体" w:eastAsia="黑体" w:cs="黑体"/>
          <w:b/>
          <w:sz w:val="24"/>
          <w:szCs w:val="24"/>
        </w:rPr>
      </w:pPr>
      <w:r>
        <w:rPr>
          <w:rFonts w:hint="eastAsia" w:ascii="黑体" w:hAnsi="黑体" w:eastAsia="黑体"/>
          <w:b/>
          <w:sz w:val="24"/>
        </w:rPr>
        <w:t>为维护投资者（以下称“您”）的合法权益，在签署本说明书前，请您仔细阅读本说明书的各项条款并特别关注字体加粗部分，了解您在本产品中的权利和义务。</w:t>
      </w:r>
      <w:r>
        <w:rPr>
          <w:rFonts w:hint="eastAsia" w:ascii="黑体" w:hAnsi="黑体" w:eastAsia="黑体" w:cs="黑体"/>
          <w:b/>
          <w:sz w:val="24"/>
          <w:szCs w:val="24"/>
        </w:rPr>
        <w:t>若您对本说明书的内容有任何疑问，请向贵州银行各营业网点或拨打贵州银行客服电话96655咨询。</w:t>
      </w:r>
    </w:p>
    <w:p>
      <w:pPr>
        <w:pStyle w:val="18"/>
        <w:spacing w:line="360" w:lineRule="auto"/>
        <w:ind w:right="0" w:firstLine="482" w:firstLineChars="200"/>
        <w:rPr>
          <w:rFonts w:ascii="黑体" w:hAnsi="黑体" w:cs="黑体"/>
          <w:b/>
          <w:sz w:val="24"/>
          <w:szCs w:val="24"/>
        </w:rPr>
      </w:pPr>
      <w:r>
        <w:rPr>
          <w:rFonts w:hint="eastAsia" w:ascii="黑体" w:hAnsi="黑体" w:cs="黑体"/>
          <w:b/>
          <w:sz w:val="24"/>
          <w:szCs w:val="24"/>
        </w:rPr>
        <w:t>1.在购买本理财产品前，请您应确保自己完全明白该项投资的性质和所涉及的风险，详细了解和审慎评估该理财产品的投资管理、风险类型等基本情况，在慎重考虑后自行决定购买与自身风险承受能力和资产管理需求匹配的理财产品。</w:t>
      </w:r>
    </w:p>
    <w:p>
      <w:pPr>
        <w:pStyle w:val="18"/>
        <w:spacing w:line="360" w:lineRule="auto"/>
        <w:ind w:right="0" w:firstLine="482" w:firstLineChars="200"/>
        <w:rPr>
          <w:rFonts w:ascii="黑体" w:hAnsi="黑体" w:cs="黑体"/>
          <w:b/>
          <w:sz w:val="24"/>
          <w:szCs w:val="24"/>
        </w:rPr>
      </w:pPr>
      <w:r>
        <w:rPr>
          <w:rFonts w:hint="eastAsia" w:ascii="黑体" w:hAnsi="黑体" w:cs="黑体"/>
          <w:b/>
          <w:sz w:val="24"/>
          <w:szCs w:val="24"/>
        </w:rPr>
        <w:t>2.本理财产品信息说明书、风险揭示书、客户权益须知及理财产品协议书构成理财合同不可分割的组成部分</w:t>
      </w:r>
      <w:r>
        <w:rPr>
          <w:rFonts w:ascii="黑体" w:hAnsi="黑体" w:cs="黑体"/>
          <w:b/>
          <w:sz w:val="24"/>
          <w:szCs w:val="24"/>
        </w:rPr>
        <w:t>。</w:t>
      </w:r>
    </w:p>
    <w:p>
      <w:pPr>
        <w:pStyle w:val="18"/>
        <w:spacing w:line="360" w:lineRule="auto"/>
        <w:ind w:right="0" w:firstLine="482" w:firstLineChars="200"/>
        <w:rPr>
          <w:rFonts w:ascii="黑体" w:hAnsi="黑体" w:cs="黑体"/>
          <w:b/>
          <w:sz w:val="24"/>
          <w:szCs w:val="24"/>
        </w:rPr>
      </w:pPr>
      <w:r>
        <w:rPr>
          <w:rFonts w:hint="eastAsia" w:ascii="黑体" w:hAnsi="黑体" w:cs="黑体"/>
          <w:b/>
          <w:sz w:val="24"/>
          <w:szCs w:val="24"/>
        </w:rPr>
        <w:t>3.本理财产品仅向依据中华人民共和国相关法律法规及本产品信息说明书规定可以购买本理财产品的适当投资者发售。</w:t>
      </w:r>
    </w:p>
    <w:p>
      <w:pPr>
        <w:pStyle w:val="18"/>
        <w:spacing w:line="360" w:lineRule="auto"/>
        <w:ind w:right="0" w:firstLine="482" w:firstLineChars="200"/>
        <w:rPr>
          <w:rFonts w:ascii="黑体" w:hAnsi="黑体" w:cs="黑体"/>
          <w:b/>
          <w:sz w:val="24"/>
          <w:szCs w:val="24"/>
        </w:rPr>
      </w:pPr>
      <w:r>
        <w:rPr>
          <w:rFonts w:hint="eastAsia" w:ascii="黑体" w:hAnsi="黑体" w:cs="黑体"/>
          <w:b/>
          <w:sz w:val="24"/>
          <w:szCs w:val="24"/>
        </w:rPr>
        <w:t>4.本产品信息说明书中任何业绩比较基准、测算收益或类似表述供投资者参考，不代表投资者可能获得的任何实际收益，亦不构成贵州银行对本理财产品的任何收益承诺。本理财产品为非保本浮动收益型理财产品，贵州银行不保证理财产品本金及理财收益。</w:t>
      </w:r>
    </w:p>
    <w:p>
      <w:pPr>
        <w:pStyle w:val="18"/>
        <w:spacing w:line="360" w:lineRule="auto"/>
        <w:ind w:right="0" w:firstLine="482" w:firstLineChars="200"/>
        <w:rPr>
          <w:rFonts w:ascii="黑体" w:hAnsi="黑体" w:cs="黑体"/>
          <w:b/>
          <w:sz w:val="24"/>
          <w:szCs w:val="24"/>
        </w:rPr>
      </w:pPr>
      <w:r>
        <w:rPr>
          <w:rFonts w:hint="eastAsia" w:ascii="黑体" w:hAnsi="黑体" w:cs="黑体"/>
          <w:b/>
          <w:sz w:val="24"/>
          <w:szCs w:val="24"/>
        </w:rPr>
        <w:t>5.您应根据自身判断审慎做出投资决定，不受任何诱导、误导。在购买本理财产品前，您应确保自己完全明白该项投资的性质、投资所涉及的风险以及您的风险承受能力，并根据自身情况做出投资决策。</w:t>
      </w:r>
    </w:p>
    <w:p>
      <w:pPr>
        <w:pStyle w:val="4"/>
        <w:spacing w:after="0" w:line="360" w:lineRule="auto"/>
        <w:ind w:left="0" w:leftChars="0" w:firstLine="482" w:firstLineChars="200"/>
        <w:rPr>
          <w:rFonts w:ascii="黑体" w:hAnsi="黑体" w:eastAsia="黑体" w:cs="黑体"/>
          <w:b/>
          <w:sz w:val="24"/>
          <w:szCs w:val="24"/>
        </w:rPr>
      </w:pPr>
      <w:r>
        <w:rPr>
          <w:rFonts w:hint="eastAsia" w:ascii="黑体" w:hAnsi="黑体" w:eastAsia="黑体" w:cs="黑体"/>
          <w:b/>
          <w:sz w:val="24"/>
          <w:szCs w:val="24"/>
        </w:rPr>
        <w:t>6.您与贵州银行签署理财产品协议书等销售文件后，视为同意贵州银行从您的相应账户中扣划理财认/申购资金，无需您另行确认。</w:t>
      </w:r>
    </w:p>
    <w:p>
      <w:pPr>
        <w:pStyle w:val="4"/>
        <w:spacing w:after="0" w:line="360" w:lineRule="auto"/>
        <w:ind w:left="0" w:leftChars="0" w:firstLine="480" w:firstLineChars="200"/>
        <w:rPr>
          <w:rFonts w:ascii="黑体" w:hAnsi="黑体" w:eastAsia="黑体" w:cs="黑体"/>
          <w:bCs/>
          <w:sz w:val="24"/>
          <w:szCs w:val="24"/>
        </w:rPr>
      </w:pPr>
      <w:r>
        <w:rPr>
          <w:rFonts w:hint="eastAsia" w:ascii="黑体" w:hAnsi="黑体" w:eastAsia="黑体" w:cs="黑体"/>
          <w:bCs/>
          <w:sz w:val="24"/>
          <w:szCs w:val="24"/>
        </w:rPr>
        <w:br w:type="page"/>
      </w:r>
    </w:p>
    <w:p>
      <w:pPr>
        <w:pStyle w:val="4"/>
        <w:numPr>
          <w:ilvl w:val="0"/>
          <w:numId w:val="1"/>
        </w:numPr>
        <w:spacing w:after="0" w:line="360" w:lineRule="auto"/>
        <w:ind w:left="0" w:leftChars="0" w:firstLine="482" w:firstLineChars="200"/>
        <w:outlineLvl w:val="0"/>
        <w:rPr>
          <w:rFonts w:ascii="黑体" w:hAnsi="黑体" w:eastAsia="黑体" w:cs="黑体"/>
          <w:b/>
          <w:bCs/>
          <w:sz w:val="24"/>
          <w:szCs w:val="24"/>
        </w:rPr>
      </w:pPr>
      <w:r>
        <w:rPr>
          <w:rFonts w:hint="eastAsia" w:ascii="黑体" w:hAnsi="黑体" w:eastAsia="黑体" w:cs="黑体"/>
          <w:b/>
          <w:bCs/>
          <w:sz w:val="24"/>
          <w:szCs w:val="24"/>
        </w:rPr>
        <w:t xml:space="preserve"> 产品要素</w:t>
      </w:r>
    </w:p>
    <w:tbl>
      <w:tblPr>
        <w:tblStyle w:val="1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6"/>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产品名称</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贵银恒利黔多多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产品代码</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LC202303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产品登记编码</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C1210923000002</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投资者可依据产品登记编码在“中国理财网”（</w:t>
            </w:r>
            <w:r>
              <w:rPr>
                <w:rFonts w:hint="eastAsia" w:asciiTheme="minorEastAsia" w:hAnsiTheme="minorEastAsia" w:eastAsiaTheme="minorEastAsia" w:cstheme="minorEastAsia"/>
                <w:bCs/>
                <w:sz w:val="24"/>
                <w:szCs w:val="24"/>
              </w:rPr>
              <w:t>www.chinawealth.com.cn</w:t>
            </w:r>
            <w:r>
              <w:rPr>
                <w:rFonts w:hint="eastAsia" w:asciiTheme="minorEastAsia" w:hAnsiTheme="minorEastAsia" w:eastAsiaTheme="minorEastAsia" w:cstheme="minorEastAsia"/>
                <w:sz w:val="24"/>
                <w:szCs w:val="24"/>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产品管理人统一社会信用代码</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915200000550280000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产品管理人</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产品托管人</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产品风险评级</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内部风险评级为一级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目标投资者</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经贵州银行客户风险承受能力评估为保守、</w:t>
            </w:r>
            <w:r>
              <w:rPr>
                <w:rFonts w:hint="eastAsia" w:ascii="宋体" w:hAnsi="宋体" w:cs="宋体"/>
                <w:sz w:val="24"/>
                <w:szCs w:val="24"/>
              </w:rPr>
              <w:t>稳健、平衡、成长、进取型</w:t>
            </w:r>
            <w:r>
              <w:rPr>
                <w:rFonts w:hint="eastAsia" w:asciiTheme="minorEastAsia" w:hAnsiTheme="minorEastAsia" w:eastAsiaTheme="minorEastAsia" w:cstheme="minorEastAsia"/>
                <w:sz w:val="24"/>
                <w:szCs w:val="24"/>
              </w:rPr>
              <w:t>的个人投资者，机构投资者。</w:t>
            </w:r>
          </w:p>
          <w:p>
            <w:pPr>
              <w:spacing w:line="360" w:lineRule="auto"/>
              <w:rPr>
                <w:rFonts w:asciiTheme="minorEastAsia" w:hAnsiTheme="minorEastAsia" w:eastAsiaTheme="minorEastAsia" w:cstheme="minorEastAsia"/>
                <w:sz w:val="24"/>
                <w:szCs w:val="24"/>
              </w:rPr>
            </w:pPr>
            <w:r>
              <w:rPr>
                <w:rFonts w:hint="eastAsia" w:ascii="宋体" w:hAnsi="宋体" w:cs="宋体"/>
                <w:color w:val="000000" w:themeColor="text1"/>
                <w:sz w:val="24"/>
                <w:szCs w:val="24"/>
                <w14:textFill>
                  <w14:solidFill>
                    <w14:schemeClr w14:val="tx1"/>
                  </w14:solidFill>
                </w14:textFill>
              </w:rPr>
              <w:t>贵州银行根据投资者自身提供的信息评估投资者的风险承受能力，因投资者提供信息不真实、不准确或不完整，导致其购买与自己风险承受能力不匹配的理财产品的责任和风险由投资者承担。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本金及收益币种</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产品类型</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产品运作模式</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募集方式</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公募发行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产品规模</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300000万元</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产品管理人有权根据实际运作情况调整产品规模上限。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业绩比较基准</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中国人民银行公布的七天通知存款利率+0.</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p>
          <w:p>
            <w:pPr>
              <w:widowControl/>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业绩比较基准测算依据：本产品为现金管理类产品，根据</w:t>
            </w:r>
            <w:r>
              <w:rPr>
                <w:rFonts w:hint="eastAsia" w:asciiTheme="minorEastAsia" w:hAnsiTheme="minorEastAsia" w:eastAsiaTheme="minorEastAsia" w:cstheme="minorEastAsia"/>
                <w:sz w:val="24"/>
                <w:szCs w:val="24"/>
              </w:rPr>
              <w:t>产品信息说明书约定投向银行存款、债券回购、中央银行票据、同业存单、债券等资产，杠杆率不超过</w:t>
            </w:r>
            <w:r>
              <w:rPr>
                <w:rFonts w:asciiTheme="minorEastAsia" w:hAnsiTheme="minorEastAsia" w:eastAsiaTheme="minorEastAsia" w:cstheme="minorEastAsia"/>
                <w:sz w:val="24"/>
                <w:szCs w:val="24"/>
              </w:rPr>
              <w:t>120%</w:t>
            </w:r>
            <w:r>
              <w:rPr>
                <w:rFonts w:hint="eastAsia" w:asciiTheme="minorEastAsia" w:hAnsiTheme="minorEastAsia" w:eastAsiaTheme="minorEastAsia" w:cstheme="minorEastAsia"/>
                <w:sz w:val="24"/>
                <w:szCs w:val="24"/>
              </w:rPr>
              <w:t>，根据拟投资产比例及收益水平、市场定价水平、过往经验等因素综合设定产品业绩比较基准。</w:t>
            </w:r>
          </w:p>
          <w:p>
            <w:pPr>
              <w:widowControl/>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业绩比较基准为设定的投资目标，不代表投资者可能获得的任何实际收益，亦不构成贵州银行对本理财产品的任何收益承诺。</w:t>
            </w:r>
          </w:p>
          <w:p>
            <w:pPr>
              <w:spacing w:line="360" w:lineRule="auto"/>
              <w:rPr>
                <w:rFonts w:asciiTheme="minorEastAsia" w:hAnsiTheme="minorEastAsia" w:eastAsiaTheme="minorEastAsia" w:cstheme="minorEastAsia"/>
                <w:sz w:val="24"/>
                <w:szCs w:val="24"/>
              </w:rPr>
            </w:pPr>
            <w:r>
              <w:rPr>
                <w:rFonts w:hint="eastAsia" w:ascii="黑体" w:hAnsi="黑体" w:eastAsia="黑体" w:cs="黑体"/>
                <w:sz w:val="24"/>
                <w:szCs w:val="24"/>
              </w:rPr>
              <w:t>理财产品过往业绩不代表其未来表现，不等于理财产品实际收益，理财非存款、产品有风险、投资须谨慎</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ascii="黑体" w:hAnsi="黑体" w:eastAsia="黑体" w:cs="黑体"/>
                <w:b/>
                <w:bCs/>
                <w:sz w:val="24"/>
                <w:szCs w:val="24"/>
              </w:rPr>
              <w:t>万份收益</w:t>
            </w:r>
          </w:p>
        </w:tc>
        <w:tc>
          <w:tcPr>
            <w:tcW w:w="7608" w:type="dxa"/>
            <w:tcMar>
              <w:top w:w="15" w:type="dxa"/>
              <w:left w:w="15" w:type="dxa"/>
              <w:bottom w:w="0" w:type="dxa"/>
              <w:right w:w="15" w:type="dxa"/>
            </w:tcMar>
            <w:vAlign w:val="center"/>
          </w:tcPr>
          <w:p>
            <w:pPr>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每万份收益=当日理财产品净收益/当日理财产品份额*10000；</w:t>
            </w:r>
          </w:p>
          <w:p>
            <w:pPr>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计算结果按四舍五入保留小数点后</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七</w:t>
            </w:r>
            <w:r>
              <w:rPr>
                <w:rFonts w:ascii="黑体" w:hAnsi="黑体" w:eastAsia="黑体" w:cs="黑体"/>
                <w:b/>
                <w:bCs/>
                <w:sz w:val="24"/>
                <w:szCs w:val="24"/>
              </w:rPr>
              <w:t>日</w:t>
            </w:r>
            <w:r>
              <w:rPr>
                <w:rFonts w:hint="eastAsia" w:ascii="黑体" w:hAnsi="黑体" w:eastAsia="黑体" w:cs="黑体"/>
                <w:b/>
                <w:bCs/>
                <w:sz w:val="24"/>
                <w:szCs w:val="24"/>
              </w:rPr>
              <w:t>年化收益率</w:t>
            </w:r>
          </w:p>
        </w:tc>
        <w:tc>
          <w:tcPr>
            <w:tcW w:w="7608" w:type="dxa"/>
            <w:tcMar>
              <w:top w:w="15" w:type="dxa"/>
              <w:left w:w="15" w:type="dxa"/>
              <w:bottom w:w="0" w:type="dxa"/>
              <w:right w:w="15" w:type="dxa"/>
            </w:tcMar>
            <w:vAlign w:val="center"/>
          </w:tcPr>
          <w:p>
            <w:pPr>
              <w:numPr>
                <w:ilvl w:val="0"/>
                <w:numId w:val="3"/>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指本理财产品最近</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个自然日收益率所折算的年化收益率，不满7个自然日以实际期限收益率折算。</w:t>
            </w:r>
          </w:p>
          <w:p>
            <w:pPr>
              <w:numPr>
                <w:ilvl w:val="0"/>
                <w:numId w:val="3"/>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计算结果按四舍五入保留百分号内小数点后4位。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产品期限</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无固定存续期</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在符合产品说明书约定的条件下，产品管理人有权提前终止本产品，产品到期日受制于提前终止条款。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2026" w:type="dxa"/>
            <w:tcMar>
              <w:top w:w="15" w:type="dxa"/>
              <w:left w:w="15" w:type="dxa"/>
              <w:bottom w:w="0" w:type="dxa"/>
              <w:right w:w="15" w:type="dxa"/>
            </w:tcMar>
            <w:vAlign w:val="center"/>
          </w:tcPr>
          <w:p>
            <w:pPr>
              <w:spacing w:line="360" w:lineRule="auto"/>
              <w:jc w:val="left"/>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份额净值</w:t>
            </w:r>
          </w:p>
        </w:tc>
        <w:tc>
          <w:tcPr>
            <w:tcW w:w="7608" w:type="dxa"/>
            <w:tcMar>
              <w:top w:w="15" w:type="dxa"/>
              <w:left w:w="15" w:type="dxa"/>
              <w:bottom w:w="0" w:type="dxa"/>
              <w:right w:w="15" w:type="dxa"/>
            </w:tcMar>
            <w:vAlign w:val="center"/>
          </w:tcPr>
          <w:p>
            <w:pPr>
              <w:numPr>
                <w:ilvl w:val="255"/>
                <w:numId w:val="0"/>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本产品采用1.0000元固定份额净值交易方式，存续期内产品</w:t>
            </w:r>
            <w:r>
              <w:rPr>
                <w:rFonts w:hint="eastAsia" w:asciiTheme="minorEastAsia" w:hAnsiTheme="minorEastAsia" w:eastAsiaTheme="minorEastAsia" w:cstheme="minorEastAsia"/>
                <w:sz w:val="24"/>
                <w:szCs w:val="24"/>
                <w:lang w:eastAsia="zh-CN"/>
              </w:rPr>
              <w:t>份额净值</w:t>
            </w:r>
            <w:r>
              <w:rPr>
                <w:rFonts w:hint="eastAsia" w:asciiTheme="minorEastAsia" w:hAnsiTheme="minorEastAsia" w:eastAsiaTheme="minorEastAsia" w:cstheme="minorEastAsia"/>
                <w:sz w:val="24"/>
                <w:szCs w:val="24"/>
              </w:rPr>
              <w:t>为1.0000元。自产品成立日起每个工作日将实现的产品净收益</w:t>
            </w:r>
            <w:r>
              <w:rPr>
                <w:rStyle w:val="14"/>
                <w:rFonts w:hint="eastAsia" w:ascii="宋体" w:hAnsi="宋体"/>
                <w:b w:val="0"/>
                <w:sz w:val="24"/>
                <w:szCs w:val="24"/>
              </w:rPr>
              <w:t>（或净损失）</w:t>
            </w:r>
            <w:r>
              <w:rPr>
                <w:rFonts w:hint="eastAsia" w:asciiTheme="minorEastAsia" w:hAnsiTheme="minorEastAsia" w:eastAsiaTheme="minorEastAsia" w:cstheme="minorEastAsia"/>
                <w:sz w:val="24"/>
                <w:szCs w:val="24"/>
              </w:rPr>
              <w:t>以分红形式分配给理财产品投资者，并于下一工作日（T+1）体现为投资者持有份额变化。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产品认购期</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月</w:t>
            </w:r>
            <w:r>
              <w:rPr>
                <w:rFonts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t>日09:00——202</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月</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日15:00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2026" w:type="dxa"/>
            <w:tcMar>
              <w:top w:w="15" w:type="dxa"/>
              <w:left w:w="15" w:type="dxa"/>
              <w:bottom w:w="0" w:type="dxa"/>
              <w:right w:w="15" w:type="dxa"/>
            </w:tcMar>
            <w:vAlign w:val="center"/>
          </w:tcPr>
          <w:p>
            <w:pPr>
              <w:spacing w:line="360" w:lineRule="auto"/>
              <w:jc w:val="left"/>
              <w:rPr>
                <w:rFonts w:ascii="宋体" w:hAnsi="宋体" w:eastAsia="黑体" w:cs="宋体"/>
                <w:b/>
                <w:bCs/>
                <w:sz w:val="24"/>
                <w:szCs w:val="24"/>
              </w:rPr>
            </w:pPr>
            <w:r>
              <w:rPr>
                <w:rFonts w:hint="eastAsia" w:ascii="黑体" w:hAnsi="黑体" w:eastAsia="黑体" w:cs="黑体"/>
                <w:b/>
                <w:bCs/>
                <w:sz w:val="24"/>
                <w:szCs w:val="24"/>
              </w:rPr>
              <w:t>产品成立日</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月</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日</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月</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日15:00至202</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月</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日09:00之间不可申购、不可赎回。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建仓期</w:t>
            </w:r>
          </w:p>
        </w:tc>
        <w:tc>
          <w:tcPr>
            <w:tcW w:w="7608" w:type="dxa"/>
            <w:tcMar>
              <w:top w:w="15" w:type="dxa"/>
              <w:left w:w="15" w:type="dxa"/>
              <w:bottom w:w="0" w:type="dxa"/>
              <w:right w:w="15" w:type="dxa"/>
            </w:tcMar>
            <w:vAlign w:val="center"/>
          </w:tcPr>
          <w:p>
            <w:pPr>
              <w:numPr>
                <w:ilvl w:val="0"/>
                <w:numId w:val="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产品成立后</w:t>
            </w:r>
            <w:r>
              <w:rPr>
                <w:rFonts w:asciiTheme="minorEastAsia" w:hAnsiTheme="minorEastAsia" w:eastAsiaTheme="minorEastAsia" w:cstheme="minorEastAsia"/>
                <w:sz w:val="24"/>
                <w:szCs w:val="24"/>
              </w:rPr>
              <w:t>13天内为建仓期（即2023年9月7日</w:t>
            </w:r>
            <w:r>
              <w:rPr>
                <w:rFonts w:hint="eastAsia" w:asciiTheme="minorEastAsia" w:hAnsiTheme="minorEastAsia" w:eastAsiaTheme="minorEastAsia" w:cstheme="minorEastAsia"/>
                <w:sz w:val="24"/>
                <w:szCs w:val="24"/>
              </w:rPr>
              <w:t>09:00</w:t>
            </w:r>
            <w:r>
              <w:rPr>
                <w:rFonts w:asciiTheme="minorEastAsia" w:hAnsiTheme="minorEastAsia" w:eastAsiaTheme="minorEastAsia" w:cstheme="minorEastAsia"/>
                <w:sz w:val="24"/>
                <w:szCs w:val="24"/>
              </w:rPr>
              <w:t>至2023年9月20日</w:t>
            </w:r>
            <w:r>
              <w:rPr>
                <w:rFonts w:hint="eastAsia" w:asciiTheme="minorEastAsia" w:hAnsiTheme="minorEastAsia" w:eastAsiaTheme="minorEastAsia" w:cstheme="minorEastAsia"/>
                <w:sz w:val="24"/>
                <w:szCs w:val="24"/>
              </w:rPr>
              <w:t>09:00</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w:t>
            </w:r>
          </w:p>
          <w:p>
            <w:pPr>
              <w:numPr>
                <w:ilvl w:val="0"/>
                <w:numId w:val="4"/>
              </w:num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建仓期内产品仅可申购、不可赎回；</w:t>
            </w:r>
          </w:p>
          <w:p>
            <w:pPr>
              <w:numPr>
                <w:ilvl w:val="0"/>
                <w:numId w:val="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建仓期内按照分红规则分红。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开放期</w:t>
            </w:r>
          </w:p>
        </w:tc>
        <w:tc>
          <w:tcPr>
            <w:tcW w:w="7608" w:type="dxa"/>
            <w:tcMar>
              <w:top w:w="15" w:type="dxa"/>
              <w:left w:w="15" w:type="dxa"/>
              <w:bottom w:w="0" w:type="dxa"/>
              <w:right w:w="15" w:type="dxa"/>
            </w:tcMar>
            <w:vAlign w:val="center"/>
          </w:tcPr>
          <w:p>
            <w:pPr>
              <w:numPr>
                <w:ilvl w:val="0"/>
                <w:numId w:val="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建仓期结束后至产品终止前为开放期</w:t>
            </w:r>
            <w:r>
              <w:rPr>
                <w:rFonts w:asciiTheme="minorEastAsia" w:hAnsiTheme="minorEastAsia" w:eastAsiaTheme="minorEastAsia" w:cstheme="minorEastAsia"/>
                <w:sz w:val="24"/>
                <w:szCs w:val="24"/>
              </w:rPr>
              <w:t>（即2023年9月20日</w:t>
            </w:r>
            <w:r>
              <w:rPr>
                <w:rFonts w:hint="eastAsia" w:asciiTheme="minorEastAsia" w:hAnsiTheme="minorEastAsia" w:eastAsiaTheme="minorEastAsia" w:cstheme="minorEastAsia"/>
                <w:sz w:val="24"/>
                <w:szCs w:val="24"/>
              </w:rPr>
              <w:t>09:00</w:t>
            </w:r>
            <w:r>
              <w:rPr>
                <w:rFonts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rPr>
              <w:t>产品终止</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w:t>
            </w:r>
          </w:p>
          <w:p>
            <w:pPr>
              <w:numPr>
                <w:ilvl w:val="0"/>
                <w:numId w:val="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开放期内，两个闭市时间之间为一个开放日（即T日15:00至T+1日15:00之间为一个开放日，T为工作日）；</w:t>
            </w:r>
          </w:p>
          <w:p>
            <w:pPr>
              <w:numPr>
                <w:ilvl w:val="0"/>
                <w:numId w:val="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开放期内投资者可申购理财产品或申请赎回持有的理财产品份额。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申赎原则</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“金额申购、份额赎回”原则，即申购以金额申请，赎回以份额申请。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认/申购起点金额</w:t>
            </w:r>
          </w:p>
        </w:tc>
        <w:tc>
          <w:tcPr>
            <w:tcW w:w="7608" w:type="dxa"/>
            <w:tcMar>
              <w:top w:w="15" w:type="dxa"/>
              <w:left w:w="15" w:type="dxa"/>
              <w:bottom w:w="0" w:type="dxa"/>
              <w:right w:w="15" w:type="dxa"/>
            </w:tcMar>
            <w:vAlign w:val="center"/>
          </w:tcPr>
          <w:p>
            <w:pPr>
              <w:numPr>
                <w:ilvl w:val="0"/>
                <w:numId w:val="6"/>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首次认</w:t>
            </w:r>
            <w:r>
              <w:rPr>
                <w:rFonts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rPr>
              <w:t>申购时，起购金额</w:t>
            </w:r>
            <w:r>
              <w:rPr>
                <w:rFonts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rPr>
              <w:t>万元</w:t>
            </w:r>
            <w:r>
              <w:rPr>
                <w:rFonts w:hint="eastAsia" w:asciiTheme="minorEastAsia" w:hAnsiTheme="minorEastAsia" w:eastAsiaTheme="minorEastAsia" w:cstheme="minorEastAsia"/>
                <w:sz w:val="24"/>
                <w:szCs w:val="24"/>
              </w:rPr>
              <w:t>，以0.01元的整数倍递增；</w:t>
            </w:r>
          </w:p>
          <w:p>
            <w:pPr>
              <w:numPr>
                <w:ilvl w:val="255"/>
                <w:numId w:val="0"/>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投资者持仓期间，追加申购金额均以0.01元的整数倍递增。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产品认/申购</w:t>
            </w:r>
          </w:p>
        </w:tc>
        <w:tc>
          <w:tcPr>
            <w:tcW w:w="7608" w:type="dxa"/>
            <w:tcMar>
              <w:top w:w="15" w:type="dxa"/>
              <w:left w:w="15" w:type="dxa"/>
              <w:bottom w:w="0" w:type="dxa"/>
              <w:right w:w="15" w:type="dxa"/>
            </w:tcMar>
            <w:vAlign w:val="center"/>
          </w:tcPr>
          <w:p>
            <w:pPr>
              <w:numPr>
                <w:ilvl w:val="0"/>
                <w:numId w:val="7"/>
              </w:numPr>
              <w:spacing w:line="360" w:lineRule="auto"/>
              <w:ind w:left="425" w:hanging="4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投资者认/申购资金按</w:t>
            </w:r>
            <w:r>
              <w:rPr>
                <w:rFonts w:hint="eastAsia" w:asciiTheme="minorEastAsia" w:hAnsiTheme="minorEastAsia" w:eastAsiaTheme="minorEastAsia" w:cstheme="minorEastAsia"/>
                <w:sz w:val="24"/>
                <w:szCs w:val="24"/>
                <w:lang w:eastAsia="zh-CN"/>
              </w:rPr>
              <w:t>份额净值</w:t>
            </w:r>
            <w:r>
              <w:rPr>
                <w:rFonts w:hint="eastAsia" w:asciiTheme="minorEastAsia" w:hAnsiTheme="minorEastAsia" w:eastAsiaTheme="minorEastAsia" w:cstheme="minorEastAsia"/>
                <w:sz w:val="24"/>
                <w:szCs w:val="24"/>
              </w:rPr>
              <w:t>1.0000确认份额；</w:t>
            </w:r>
          </w:p>
          <w:p>
            <w:pPr>
              <w:numPr>
                <w:ilvl w:val="0"/>
                <w:numId w:val="7"/>
              </w:numPr>
              <w:spacing w:line="360" w:lineRule="auto"/>
              <w:ind w:left="425" w:hanging="4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认购期内实时冻结认购资金，产品成立日扣划资金并确认份额；</w:t>
            </w:r>
            <w:r>
              <w:rPr>
                <w:rFonts w:asciiTheme="minorEastAsia" w:hAnsiTheme="minorEastAsia" w:eastAsiaTheme="minorEastAsia" w:cstheme="minorEastAsia"/>
                <w:sz w:val="24"/>
                <w:szCs w:val="24"/>
              </w:rPr>
              <w:t xml:space="preserve"> </w:t>
            </w:r>
          </w:p>
          <w:p>
            <w:pPr>
              <w:numPr>
                <w:ilvl w:val="0"/>
                <w:numId w:val="7"/>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建仓期及开放期内T日15:00至</w:t>
            </w:r>
            <w:r>
              <w:rPr>
                <w:rFonts w:asciiTheme="minorEastAsia" w:hAnsiTheme="minorEastAsia" w:eastAsiaTheme="minorEastAsia" w:cstheme="minorEastAsia"/>
                <w:sz w:val="24"/>
                <w:szCs w:val="24"/>
              </w:rPr>
              <w:t>T+1</w:t>
            </w:r>
            <w:r>
              <w:rPr>
                <w:rFonts w:hint="eastAsia" w:asciiTheme="minorEastAsia" w:hAnsiTheme="minorEastAsia" w:eastAsiaTheme="minorEastAsia" w:cstheme="minorEastAsia"/>
                <w:sz w:val="24"/>
                <w:szCs w:val="24"/>
              </w:rPr>
              <w:t>日15:00申购，实时冻结申购资金，T+2日扣划资金并确认份额；</w:t>
            </w:r>
          </w:p>
          <w:p>
            <w:pPr>
              <w:numPr>
                <w:ilvl w:val="0"/>
                <w:numId w:val="7"/>
              </w:numPr>
              <w:spacing w:line="360" w:lineRule="auto"/>
              <w:ind w:left="425" w:hanging="4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如周一至周五为工作日，周六周日为非工作日，则：</w:t>
            </w:r>
          </w:p>
          <w:tbl>
            <w:tblPr>
              <w:tblStyle w:val="12"/>
              <w:tblW w:w="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6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68"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申购时间</w:t>
                  </w:r>
                </w:p>
              </w:tc>
              <w:tc>
                <w:tcPr>
                  <w:tcW w:w="1976"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确认份额日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68"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周一15:00-周二15:00</w:t>
                  </w:r>
                </w:p>
              </w:tc>
              <w:tc>
                <w:tcPr>
                  <w:tcW w:w="1976"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68"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周二15:00-周三15:00</w:t>
                  </w:r>
                </w:p>
              </w:tc>
              <w:tc>
                <w:tcPr>
                  <w:tcW w:w="1976"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68"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周三15:00-周四15:00</w:t>
                  </w:r>
                </w:p>
              </w:tc>
              <w:tc>
                <w:tcPr>
                  <w:tcW w:w="1976"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68"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周四15:00-周五15:00</w:t>
                  </w:r>
                </w:p>
              </w:tc>
              <w:tc>
                <w:tcPr>
                  <w:tcW w:w="1976"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68"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周五15:00-下周一15:00</w:t>
                  </w:r>
                </w:p>
              </w:tc>
              <w:tc>
                <w:tcPr>
                  <w:tcW w:w="1976"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下周二</w:t>
                  </w:r>
                </w:p>
              </w:tc>
            </w:tr>
          </w:tbl>
          <w:p>
            <w:pPr>
              <w:numPr>
                <w:ilvl w:val="0"/>
                <w:numId w:val="7"/>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产品成立后</w:t>
            </w:r>
            <w:r>
              <w:rPr>
                <w:rFonts w:asciiTheme="minorEastAsia" w:hAnsiTheme="minorEastAsia" w:eastAsiaTheme="minorEastAsia" w:cstheme="minorEastAsia"/>
                <w:sz w:val="24"/>
                <w:szCs w:val="24"/>
              </w:rPr>
              <w:t>，任一份额确认日，单一投资者确认份额与上一日该投资者持有份额之和，不得超过该产品总份额的50%，超过部分将强制赎回</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巨额赎回</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每个开放日内，所有投资者累计净赎回份额（赎回申请累计总份额-申购申请累计总份额）超过产品上一工作日总份额的10%时，为巨额赎回。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产品赎回</w:t>
            </w:r>
          </w:p>
        </w:tc>
        <w:tc>
          <w:tcPr>
            <w:tcW w:w="7608" w:type="dxa"/>
            <w:tcMar>
              <w:top w:w="15" w:type="dxa"/>
              <w:left w:w="15" w:type="dxa"/>
              <w:bottom w:w="0" w:type="dxa"/>
              <w:right w:w="15" w:type="dxa"/>
            </w:tcMar>
            <w:vAlign w:val="center"/>
          </w:tcPr>
          <w:p>
            <w:pPr>
              <w:numPr>
                <w:ilvl w:val="0"/>
                <w:numId w:val="8"/>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投资者可在开放期内申请赎回，最低赎回份额为0.01份，并以0.01份的整数倍递增。</w:t>
            </w:r>
          </w:p>
          <w:p>
            <w:pPr>
              <w:numPr>
                <w:ilvl w:val="0"/>
                <w:numId w:val="8"/>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普通赎回：</w:t>
            </w:r>
          </w:p>
          <w:p>
            <w:pPr>
              <w:numPr>
                <w:ilvl w:val="255"/>
                <w:numId w:val="0"/>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当未触发巨额赎回时，T日</w:t>
            </w:r>
            <w:r>
              <w:rPr>
                <w:rFonts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t>:00至</w:t>
            </w:r>
            <w:r>
              <w:rPr>
                <w:rFonts w:asciiTheme="minorEastAsia" w:hAnsiTheme="minorEastAsia" w:eastAsiaTheme="minorEastAsia" w:cstheme="minorEastAsia"/>
                <w:sz w:val="24"/>
                <w:szCs w:val="24"/>
              </w:rPr>
              <w:t>T+1</w:t>
            </w:r>
            <w:r>
              <w:rPr>
                <w:rFonts w:hint="eastAsia" w:asciiTheme="minorEastAsia" w:hAnsiTheme="minorEastAsia" w:eastAsiaTheme="minorEastAsia" w:cstheme="minorEastAsia"/>
                <w:sz w:val="24"/>
                <w:szCs w:val="24"/>
              </w:rPr>
              <w:t>日15:00赎回申请，T+2日赎回确认。</w:t>
            </w:r>
          </w:p>
          <w:p>
            <w:pPr>
              <w:numPr>
                <w:ilvl w:val="255"/>
                <w:numId w:val="0"/>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如周一至周五为工作日，周六周日为非工作日，则：</w:t>
            </w:r>
          </w:p>
          <w:tbl>
            <w:tblPr>
              <w:tblStyle w:val="12"/>
              <w:tblW w:w="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6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68"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赎回申请时间</w:t>
                  </w:r>
                </w:p>
              </w:tc>
              <w:tc>
                <w:tcPr>
                  <w:tcW w:w="1976"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赎回确认日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68"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周一15:00-周二15:00</w:t>
                  </w:r>
                </w:p>
              </w:tc>
              <w:tc>
                <w:tcPr>
                  <w:tcW w:w="1976"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68"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周二15:00-周三15:00</w:t>
                  </w:r>
                </w:p>
              </w:tc>
              <w:tc>
                <w:tcPr>
                  <w:tcW w:w="1976"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68"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周三15:00-周四15:00</w:t>
                  </w:r>
                </w:p>
              </w:tc>
              <w:tc>
                <w:tcPr>
                  <w:tcW w:w="1976"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68"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周四15:00-周五15:00</w:t>
                  </w:r>
                </w:p>
              </w:tc>
              <w:tc>
                <w:tcPr>
                  <w:tcW w:w="1976"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68"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周五15:00-下周一15:00</w:t>
                  </w:r>
                </w:p>
              </w:tc>
              <w:tc>
                <w:tcPr>
                  <w:tcW w:w="1976" w:type="dxa"/>
                </w:tcPr>
                <w:p>
                  <w:pPr>
                    <w:numPr>
                      <w:ilvl w:val="255"/>
                      <w:numId w:val="0"/>
                    </w:num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下周二</w:t>
                  </w:r>
                </w:p>
              </w:tc>
            </w:tr>
          </w:tbl>
          <w:p>
            <w:pPr>
              <w:numPr>
                <w:ilvl w:val="0"/>
                <w:numId w:val="8"/>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巨额赎回：出现巨额赎回时，产品管理人可不接受或延期办理超出部分的赎回申请；</w:t>
            </w:r>
          </w:p>
          <w:p>
            <w:pPr>
              <w:numPr>
                <w:ilvl w:val="0"/>
                <w:numId w:val="8"/>
              </w:numPr>
              <w:spacing w:line="360" w:lineRule="auto"/>
              <w:rPr>
                <w:rFonts w:asciiTheme="minorEastAsia" w:hAnsiTheme="minorEastAsia" w:eastAsiaTheme="minorEastAsia" w:cstheme="minorEastAsia"/>
                <w:sz w:val="24"/>
                <w:szCs w:val="24"/>
              </w:rPr>
            </w:pPr>
            <w:r>
              <w:rPr>
                <w:rStyle w:val="14"/>
                <w:rFonts w:hint="eastAsia" w:ascii="宋体" w:hAnsi="宋体"/>
                <w:b w:val="0"/>
                <w:sz w:val="24"/>
                <w:szCs w:val="24"/>
              </w:rPr>
              <w:t>在不发生本产品所提示的风险的情况下，赎回确认</w:t>
            </w:r>
            <w:r>
              <w:rPr>
                <w:rFonts w:hint="eastAsia" w:asciiTheme="minorEastAsia" w:hAnsiTheme="minorEastAsia" w:eastAsiaTheme="minorEastAsia" w:cstheme="minorEastAsia"/>
                <w:sz w:val="24"/>
                <w:szCs w:val="24"/>
              </w:rPr>
              <w:t>成功的份额对应赎回资金将于赎回确认日三个工作日内划转至投资者账户。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产品流动性</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产品进入开放期前不可赎回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认/申购撤单</w:t>
            </w:r>
          </w:p>
        </w:tc>
        <w:tc>
          <w:tcPr>
            <w:tcW w:w="7608" w:type="dxa"/>
            <w:tcMar>
              <w:top w:w="15" w:type="dxa"/>
              <w:left w:w="15" w:type="dxa"/>
              <w:bottom w:w="0" w:type="dxa"/>
              <w:right w:w="15" w:type="dxa"/>
            </w:tcMar>
            <w:vAlign w:val="center"/>
          </w:tcPr>
          <w:p>
            <w:pPr>
              <w:numPr>
                <w:ilvl w:val="0"/>
                <w:numId w:val="9"/>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认购期内除最后一日外（即202</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月</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日0</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rPr>
              <w:t>至</w:t>
            </w:r>
            <w:r>
              <w:rPr>
                <w:rFonts w:asciiTheme="minorEastAsia" w:hAnsiTheme="minorEastAsia" w:eastAsiaTheme="minorEastAsia" w:cstheme="minorEastAsia"/>
                <w:sz w:val="24"/>
                <w:szCs w:val="24"/>
              </w:rPr>
              <w:t>15:00</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14:textFill>
                  <w14:solidFill>
                    <w14:schemeClr w14:val="tx1"/>
                  </w14:solidFill>
                </w14:textFill>
              </w:rPr>
              <w:t>投资者可以在贵州银行营业网点和电子渠道上</w:t>
            </w:r>
            <w:r>
              <w:rPr>
                <w:rFonts w:hint="eastAsia" w:asciiTheme="minorEastAsia" w:hAnsiTheme="minorEastAsia" w:eastAsiaTheme="minorEastAsia" w:cstheme="minorEastAsia"/>
                <w:sz w:val="24"/>
                <w:szCs w:val="24"/>
              </w:rPr>
              <w:t>进行撤单；</w:t>
            </w:r>
          </w:p>
          <w:p>
            <w:pPr>
              <w:numPr>
                <w:ilvl w:val="0"/>
                <w:numId w:val="9"/>
              </w:num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建仓期及开放期内，T日15:00</w:t>
            </w:r>
            <w:r>
              <w:rPr>
                <w:rFonts w:hint="eastAsia" w:asciiTheme="minorEastAsia" w:hAnsiTheme="minorEastAsia" w:eastAsiaTheme="minorEastAsia" w:cstheme="minorEastAsia"/>
                <w:sz w:val="24"/>
                <w:szCs w:val="24"/>
              </w:rPr>
              <w:t>至</w:t>
            </w:r>
            <w:r>
              <w:rPr>
                <w:rFonts w:asciiTheme="minorEastAsia" w:hAnsiTheme="minorEastAsia" w:eastAsiaTheme="minorEastAsia" w:cstheme="minorEastAsia"/>
                <w:sz w:val="24"/>
                <w:szCs w:val="24"/>
              </w:rPr>
              <w:t>T</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1日15:00发起的申购申请，</w:t>
            </w:r>
            <w:r>
              <w:rPr>
                <w:rFonts w:hint="eastAsia" w:ascii="宋体" w:hAnsi="宋体" w:cs="宋体"/>
                <w:color w:val="000000" w:themeColor="text1"/>
                <w:sz w:val="24"/>
                <w:szCs w:val="24"/>
                <w14:textFill>
                  <w14:solidFill>
                    <w14:schemeClr w14:val="tx1"/>
                  </w14:solidFill>
                </w14:textFill>
              </w:rPr>
              <w:t>投资者</w:t>
            </w:r>
            <w:r>
              <w:rPr>
                <w:rFonts w:hint="eastAsia" w:asciiTheme="minorEastAsia" w:hAnsiTheme="minorEastAsia" w:eastAsiaTheme="minorEastAsia" w:cstheme="minorEastAsia"/>
                <w:sz w:val="24"/>
                <w:szCs w:val="24"/>
              </w:rPr>
              <w:t>可于</w:t>
            </w:r>
            <w:r>
              <w:rPr>
                <w:rFonts w:asciiTheme="minorEastAsia" w:hAnsiTheme="minorEastAsia" w:eastAsiaTheme="minorEastAsia" w:cstheme="minorEastAsia"/>
                <w:sz w:val="24"/>
                <w:szCs w:val="24"/>
              </w:rPr>
              <w:t>T+1日15:00前</w:t>
            </w:r>
            <w:r>
              <w:rPr>
                <w:rFonts w:hint="eastAsia" w:ascii="宋体" w:hAnsi="宋体" w:cs="宋体"/>
                <w:color w:val="000000" w:themeColor="text1"/>
                <w:sz w:val="24"/>
                <w:szCs w:val="24"/>
                <w14:textFill>
                  <w14:solidFill>
                    <w14:schemeClr w14:val="tx1"/>
                  </w14:solidFill>
                </w14:textFill>
              </w:rPr>
              <w:t>在贵州银行营业网点和电子渠道上</w:t>
            </w:r>
            <w:r>
              <w:rPr>
                <w:rFonts w:asciiTheme="minorEastAsia" w:hAnsiTheme="minorEastAsia" w:eastAsiaTheme="minorEastAsia" w:cstheme="minorEastAsia"/>
                <w:sz w:val="24"/>
                <w:szCs w:val="24"/>
              </w:rPr>
              <w:t>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赎回撤单</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T日15:00</w:t>
            </w:r>
            <w:r>
              <w:rPr>
                <w:rFonts w:hint="eastAsia" w:asciiTheme="minorEastAsia" w:hAnsiTheme="minorEastAsia" w:eastAsiaTheme="minorEastAsia" w:cstheme="minorEastAsia"/>
                <w:sz w:val="24"/>
                <w:szCs w:val="24"/>
              </w:rPr>
              <w:t>至</w:t>
            </w:r>
            <w:r>
              <w:rPr>
                <w:rFonts w:asciiTheme="minorEastAsia" w:hAnsiTheme="minorEastAsia" w:eastAsiaTheme="minorEastAsia" w:cstheme="minorEastAsia"/>
                <w:sz w:val="24"/>
                <w:szCs w:val="24"/>
              </w:rPr>
              <w:t>T</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1日15:00发起赎回申请，T+1日15:00前可以撤单。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026" w:type="dxa"/>
            <w:tcBorders>
              <w:left w:val="single" w:color="auto" w:sz="4" w:space="0"/>
            </w:tcBorders>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产品最低持有份额</w:t>
            </w:r>
          </w:p>
        </w:tc>
        <w:tc>
          <w:tcPr>
            <w:tcW w:w="7608" w:type="dxa"/>
            <w:tcMar>
              <w:top w:w="15" w:type="dxa"/>
              <w:left w:w="15" w:type="dxa"/>
              <w:bottom w:w="0" w:type="dxa"/>
              <w:right w:w="15" w:type="dxa"/>
            </w:tcMar>
            <w:vAlign w:val="center"/>
          </w:tcPr>
          <w:p>
            <w:pPr>
              <w:numPr>
                <w:ilvl w:val="0"/>
                <w:numId w:val="10"/>
              </w:num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产品最低持有份额为</w:t>
            </w:r>
            <w:r>
              <w:rPr>
                <w:rFonts w:asciiTheme="minorEastAsia" w:hAnsiTheme="minorEastAsia" w:eastAsiaTheme="minorEastAsia" w:cstheme="minorEastAsia"/>
                <w:b/>
                <w:bCs/>
                <w:sz w:val="24"/>
                <w:szCs w:val="24"/>
              </w:rPr>
              <w:t>1000</w:t>
            </w:r>
            <w:r>
              <w:rPr>
                <w:rFonts w:hint="eastAsia" w:asciiTheme="minorEastAsia" w:hAnsiTheme="minorEastAsia" w:eastAsiaTheme="minorEastAsia" w:cstheme="minorEastAsia"/>
                <w:b/>
                <w:bCs/>
                <w:sz w:val="24"/>
                <w:szCs w:val="24"/>
              </w:rPr>
              <w:t>份；</w:t>
            </w:r>
          </w:p>
          <w:p>
            <w:pPr>
              <w:numPr>
                <w:ilvl w:val="0"/>
                <w:numId w:val="10"/>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投资者持有产品份额较低时，计算收益截位后可能无法体现，为保障投资者权益，设定最低持有份额；</w:t>
            </w:r>
          </w:p>
          <w:p>
            <w:pPr>
              <w:numPr>
                <w:ilvl w:val="0"/>
                <w:numId w:val="10"/>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当部分赎回申请将导致投资者持有本理财产品的剩余份额低于最低持有份额时，系统将拒绝此次部分赎回申请，并对投资者进行提示；</w:t>
            </w:r>
          </w:p>
          <w:p>
            <w:pPr>
              <w:numPr>
                <w:ilvl w:val="0"/>
                <w:numId w:val="10"/>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投资者无法保证最低持有份额时，可在赎回规则下全部赎回；</w:t>
            </w:r>
          </w:p>
          <w:p>
            <w:pPr>
              <w:numPr>
                <w:ilvl w:val="0"/>
                <w:numId w:val="10"/>
              </w:num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投资者份额清零后再次申购，起购金额要求等同于首次起购金额要求。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026" w:type="dxa"/>
            <w:tcBorders>
              <w:left w:val="single" w:color="auto" w:sz="4" w:space="0"/>
            </w:tcBorders>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单一投资者持有份额限制</w:t>
            </w:r>
          </w:p>
        </w:tc>
        <w:tc>
          <w:tcPr>
            <w:tcW w:w="7608" w:type="dxa"/>
            <w:tcMar>
              <w:top w:w="15" w:type="dxa"/>
              <w:left w:w="15" w:type="dxa"/>
              <w:bottom w:w="0" w:type="dxa"/>
              <w:right w:w="15" w:type="dxa"/>
            </w:tcMar>
            <w:vAlign w:val="center"/>
          </w:tcPr>
          <w:p>
            <w:pPr>
              <w:numPr>
                <w:ilvl w:val="0"/>
                <w:numId w:val="11"/>
              </w:numPr>
              <w:spacing w:line="360" w:lineRule="auto"/>
              <w:rPr>
                <w:rFonts w:ascii="宋体" w:hAnsi="宋体" w:cs="宋体" w:eastAsiaTheme="minorEastAsia"/>
                <w:sz w:val="24"/>
                <w:szCs w:val="24"/>
              </w:rPr>
            </w:pPr>
            <w:r>
              <w:rPr>
                <w:rFonts w:hint="eastAsia" w:ascii="宋体" w:hAnsi="宋体" w:cs="宋体"/>
                <w:b/>
                <w:bCs/>
                <w:sz w:val="24"/>
                <w:szCs w:val="24"/>
              </w:rPr>
              <w:t>单一投资者持有产品份额不得超过产品总份额的</w:t>
            </w:r>
            <w:r>
              <w:rPr>
                <w:rFonts w:ascii="宋体" w:hAnsi="宋体" w:cs="宋体"/>
                <w:b/>
                <w:bCs/>
                <w:sz w:val="24"/>
                <w:szCs w:val="24"/>
              </w:rPr>
              <w:t>50%</w:t>
            </w:r>
            <w:r>
              <w:rPr>
                <w:rFonts w:hint="eastAsia" w:ascii="宋体" w:hAnsi="宋体" w:cs="宋体"/>
                <w:sz w:val="24"/>
                <w:szCs w:val="24"/>
              </w:rPr>
              <w:t>。非因产品管理人主观因素导致突破比例限制的，在单一投资者持有比例降至50%以下之前，将不再接受该投资者对该理财产品的购买申请。</w:t>
            </w:r>
          </w:p>
          <w:p>
            <w:pPr>
              <w:numPr>
                <w:ilvl w:val="0"/>
                <w:numId w:val="11"/>
              </w:numPr>
              <w:spacing w:line="360" w:lineRule="auto"/>
              <w:rPr>
                <w:rFonts w:ascii="宋体" w:hAnsi="宋体" w:cs="宋体" w:eastAsiaTheme="minorEastAsia"/>
                <w:sz w:val="24"/>
                <w:szCs w:val="24"/>
              </w:rPr>
            </w:pPr>
            <w:r>
              <w:rPr>
                <w:rFonts w:asciiTheme="minorEastAsia" w:hAnsiTheme="minorEastAsia" w:eastAsiaTheme="minorEastAsia" w:cstheme="minorEastAsia"/>
                <w:sz w:val="24"/>
                <w:szCs w:val="24"/>
              </w:rPr>
              <w:t>任一份额确认日，单一投资者确认份额不得超过该产品总份额的50%，超过部分将</w:t>
            </w:r>
            <w:r>
              <w:rPr>
                <w:rFonts w:hint="eastAsia" w:asciiTheme="minorEastAsia" w:hAnsiTheme="minorEastAsia" w:eastAsiaTheme="minorEastAsia" w:cstheme="minorEastAsia"/>
                <w:sz w:val="24"/>
                <w:szCs w:val="24"/>
              </w:rPr>
              <w:t>被</w:t>
            </w:r>
            <w:r>
              <w:rPr>
                <w:rFonts w:asciiTheme="minorEastAsia" w:hAnsiTheme="minorEastAsia" w:eastAsiaTheme="minorEastAsia" w:cstheme="minorEastAsia"/>
                <w:sz w:val="24"/>
                <w:szCs w:val="24"/>
              </w:rPr>
              <w:t>强制赎回</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9" w:hRule="atLeast"/>
          <w:jc w:val="center"/>
        </w:trPr>
        <w:tc>
          <w:tcPr>
            <w:tcW w:w="2026" w:type="dxa"/>
            <w:tcBorders>
              <w:left w:val="single" w:color="auto" w:sz="4" w:space="0"/>
            </w:tcBorders>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宋体" w:hAnsi="宋体" w:cs="宋体"/>
                <w:b/>
                <w:bCs/>
                <w:sz w:val="24"/>
                <w:szCs w:val="24"/>
              </w:rPr>
              <w:t>收益分配</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扣除本理财产品税费、托管费、第三方估值核算管理费、销售服务费、固定管理费、审计费、律师费、交易相关费</w:t>
            </w:r>
            <w:r>
              <w:rPr>
                <w:rFonts w:hint="eastAsia" w:ascii="宋体" w:hAnsi="宋体" w:cs="宋体"/>
                <w:color w:val="000000" w:themeColor="text1"/>
                <w:sz w:val="24"/>
                <w:szCs w:val="24"/>
                <w14:textFill>
                  <w14:solidFill>
                    <w14:schemeClr w14:val="tx1"/>
                  </w14:solidFill>
                </w14:textFill>
              </w:rPr>
              <w:t>用、利息支出</w:t>
            </w:r>
            <w:r>
              <w:rPr>
                <w:rFonts w:hint="eastAsia" w:asciiTheme="minorEastAsia" w:hAnsiTheme="minorEastAsia" w:eastAsiaTheme="minorEastAsia" w:cstheme="minorEastAsia"/>
                <w:sz w:val="24"/>
                <w:szCs w:val="24"/>
              </w:rPr>
              <w:t>以及应监管要求所发生的各项管理费等费用后，超出业绩比较基准部分的投资收益,投资者按以下原则获得超额业绩报酬：</w:t>
            </w:r>
          </w:p>
          <w:p>
            <w:pPr>
              <w:numPr>
                <w:ilvl w:val="0"/>
                <w:numId w:val="1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N≤业绩比较基准，无超额业绩报酬；</w:t>
            </w:r>
          </w:p>
          <w:p>
            <w:pPr>
              <w:numPr>
                <w:ilvl w:val="0"/>
                <w:numId w:val="1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N&gt;业绩比较基准，超出业绩比较基准部分的</w:t>
            </w:r>
            <w:r>
              <w:rPr>
                <w:rFonts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t>作为投资者超额业绩报酬，剩余归管理人所有。</w:t>
            </w:r>
          </w:p>
          <w:p>
            <w:pPr>
              <w:numPr>
                <w:ilvl w:val="255"/>
                <w:numId w:val="0"/>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其中，N为每日产品实际投资收益折算的年化收益率。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0" w:hRule="atLeast"/>
          <w:jc w:val="center"/>
        </w:trPr>
        <w:tc>
          <w:tcPr>
            <w:tcW w:w="2026" w:type="dxa"/>
            <w:tcBorders>
              <w:left w:val="single" w:color="auto" w:sz="4" w:space="0"/>
            </w:tcBorders>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 xml:space="preserve">费率 </w:t>
            </w:r>
          </w:p>
        </w:tc>
        <w:tc>
          <w:tcPr>
            <w:tcW w:w="7608" w:type="dxa"/>
            <w:tcMar>
              <w:top w:w="15" w:type="dxa"/>
              <w:left w:w="15" w:type="dxa"/>
              <w:bottom w:w="0" w:type="dxa"/>
              <w:right w:w="15" w:type="dxa"/>
            </w:tcMar>
            <w:vAlign w:val="center"/>
          </w:tcPr>
          <w:p>
            <w:pPr>
              <w:numPr>
                <w:ilvl w:val="0"/>
                <w:numId w:val="13"/>
              </w:num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托管费率：年化</w:t>
            </w:r>
            <w:r>
              <w:rPr>
                <w:rFonts w:hint="eastAsia" w:asciiTheme="minorEastAsia" w:hAnsiTheme="minorEastAsia" w:eastAsiaTheme="minorEastAsia" w:cstheme="minorEastAsia"/>
                <w:b/>
                <w:bCs/>
                <w:sz w:val="24"/>
                <w:szCs w:val="24"/>
                <w:u w:val="single"/>
              </w:rPr>
              <w:t>0.01</w:t>
            </w:r>
            <w:r>
              <w:rPr>
                <w:rFonts w:hint="eastAsia" w:asciiTheme="minorEastAsia" w:hAnsiTheme="minorEastAsia" w:eastAsiaTheme="minorEastAsia" w:cstheme="minorEastAsia"/>
                <w:b/>
                <w:bCs/>
                <w:sz w:val="24"/>
                <w:szCs w:val="24"/>
              </w:rPr>
              <w:t>%；</w:t>
            </w:r>
          </w:p>
          <w:p>
            <w:pPr>
              <w:numPr>
                <w:ilvl w:val="0"/>
                <w:numId w:val="13"/>
              </w:num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固定管理费率：年化</w:t>
            </w:r>
            <w:r>
              <w:rPr>
                <w:rFonts w:hint="eastAsia" w:asciiTheme="minorEastAsia" w:hAnsiTheme="minorEastAsia" w:eastAsiaTheme="minorEastAsia" w:cstheme="minorEastAsia"/>
                <w:b/>
                <w:bCs/>
                <w:sz w:val="24"/>
                <w:szCs w:val="24"/>
                <w:u w:val="single"/>
              </w:rPr>
              <w:t>0.</w:t>
            </w:r>
            <w:r>
              <w:rPr>
                <w:rFonts w:hint="eastAsia" w:asciiTheme="minorEastAsia" w:hAnsiTheme="minorEastAsia" w:eastAsiaTheme="minorEastAsia" w:cstheme="minorEastAsia"/>
                <w:b/>
                <w:bCs/>
                <w:sz w:val="24"/>
                <w:szCs w:val="24"/>
                <w:u w:val="single"/>
                <w:lang w:val="en-US" w:eastAsia="zh-CN"/>
              </w:rPr>
              <w:t>1</w:t>
            </w:r>
            <w:r>
              <w:rPr>
                <w:rFonts w:hint="eastAsia" w:asciiTheme="minorEastAsia" w:hAnsiTheme="minorEastAsia" w:eastAsiaTheme="minorEastAsia" w:cstheme="minorEastAsia"/>
                <w:b/>
                <w:bCs/>
                <w:sz w:val="24"/>
                <w:szCs w:val="24"/>
                <w:u w:val="single"/>
              </w:rPr>
              <w:t>0</w:t>
            </w:r>
            <w:r>
              <w:rPr>
                <w:rFonts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rPr>
              <w:t>；</w:t>
            </w:r>
          </w:p>
          <w:p>
            <w:pPr>
              <w:numPr>
                <w:ilvl w:val="0"/>
                <w:numId w:val="13"/>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暂不收取认购费和申购费；</w:t>
            </w:r>
          </w:p>
          <w:p>
            <w:pPr>
              <w:numPr>
                <w:ilvl w:val="0"/>
                <w:numId w:val="13"/>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普通情况下，暂不收取普通赎回费；</w:t>
            </w:r>
          </w:p>
          <w:p>
            <w:pPr>
              <w:numPr>
                <w:ilvl w:val="0"/>
                <w:numId w:val="13"/>
              </w:num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特殊情况下，赎回费率为</w:t>
            </w:r>
            <w:r>
              <w:rPr>
                <w:rFonts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rPr>
              <w:t>，特殊情况详见条款</w:t>
            </w:r>
            <w:r>
              <w:rPr>
                <w:rFonts w:asciiTheme="minorEastAsia" w:hAnsiTheme="minorEastAsia" w:eastAsiaTheme="minorEastAsia" w:cstheme="minorEastAsia"/>
                <w:b/>
                <w:bCs/>
                <w:sz w:val="24"/>
                <w:szCs w:val="24"/>
              </w:rPr>
              <w:t>7.6</w:t>
            </w:r>
            <w:r>
              <w:rPr>
                <w:rFonts w:hint="eastAsia" w:asciiTheme="minorEastAsia" w:hAnsiTheme="minorEastAsia" w:eastAsiaTheme="minorEastAsia" w:cstheme="minorEastAsia"/>
                <w:b/>
                <w:bCs/>
                <w:sz w:val="24"/>
                <w:szCs w:val="24"/>
              </w:rPr>
              <w:t>。</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其他费用：产品税费、交易费用、第三方估值核算管理费、销售服务费、审计费、律师费等相关费用以及应监管要求所发生的各项管理费用，以实际发生为准。</w:t>
            </w:r>
          </w:p>
          <w:p>
            <w:pPr>
              <w:numPr>
                <w:ilvl w:val="255"/>
                <w:numId w:val="0"/>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产品管理人有权根据产品运作和市场情况决定少收或不收管理费。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2026" w:type="dxa"/>
            <w:tcBorders>
              <w:left w:val="single" w:color="auto" w:sz="4" w:space="0"/>
            </w:tcBorders>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销售渠道</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宋体" w:hAnsi="宋体" w:cs="宋体"/>
                <w:sz w:val="24"/>
                <w:szCs w:val="24"/>
              </w:rPr>
              <w:t>营业网点</w:t>
            </w:r>
            <w:r>
              <w:rPr>
                <w:rFonts w:hint="eastAsia" w:asciiTheme="minorEastAsia" w:hAnsiTheme="minorEastAsia" w:eastAsiaTheme="minorEastAsia" w:cstheme="minorEastAsia"/>
                <w:sz w:val="24"/>
                <w:szCs w:val="24"/>
              </w:rPr>
              <w:t>、电子渠道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2026" w:type="dxa"/>
            <w:tcBorders>
              <w:left w:val="single" w:color="auto" w:sz="4" w:space="0"/>
            </w:tcBorders>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销售区域</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贵州省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26" w:type="dxa"/>
            <w:tcBorders>
              <w:left w:val="single" w:color="auto" w:sz="4" w:space="0"/>
            </w:tcBorders>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产品成立</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为保护投资者权益，产品管理人可根据市场变化缩短或延长认购期并提前或推迟成立；产品最终规模以实际募集规模为准。</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如产品认购期募集规模低于</w:t>
            </w:r>
            <w:r>
              <w:rPr>
                <w:rFonts w:asciiTheme="minorEastAsia" w:hAnsiTheme="minorEastAsia" w:eastAsiaTheme="minorEastAsia" w:cstheme="minorEastAsia"/>
                <w:b/>
                <w:bCs/>
                <w:sz w:val="24"/>
                <w:szCs w:val="24"/>
              </w:rPr>
              <w:t>20000</w:t>
            </w:r>
            <w:r>
              <w:rPr>
                <w:rFonts w:hint="eastAsia" w:asciiTheme="minorEastAsia" w:hAnsiTheme="minorEastAsia" w:eastAsiaTheme="minorEastAsia" w:cstheme="minorEastAsia"/>
                <w:b/>
                <w:bCs/>
                <w:sz w:val="24"/>
                <w:szCs w:val="24"/>
              </w:rPr>
              <w:t>万元或投资底层资产发生重大变化，导致不能继续投资的，产品管理人可宣布本产品不成立并在原定成立日后</w:t>
            </w:r>
            <w:r>
              <w:rPr>
                <w:rFonts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rPr>
              <w:t>个工作日内将投资者理财本金划转至投资者账户。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提前终止权</w:t>
            </w:r>
          </w:p>
        </w:tc>
        <w:tc>
          <w:tcPr>
            <w:tcW w:w="7608" w:type="dxa"/>
            <w:tcMar>
              <w:top w:w="15" w:type="dxa"/>
              <w:left w:w="15" w:type="dxa"/>
              <w:bottom w:w="0" w:type="dxa"/>
              <w:right w:w="15"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在出现下列情形之一时，产品管理人可提前终止理财产品，并提前3个工作日通过贵州银行官方信息披露途径进行公告通知：</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因不可抗力原因导致理财产品无法继续运作；</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遇有市场剧烈波动、异常风险事件等情形导致理财产品净值出现大幅波动或严重影响理财产品的资产安全； </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理财产品剩余资产无法满足相关法律法规规定、所投资市场要求或协议等相关法律文件约定，或者继续存续无法实现投资目标； </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所投资资产部分或全部提前偿付；</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因相关投资管理机构解散、破产、撤销、被取消业务资格等原因无法继续履行相应职责导致产品无法继续运作；</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相关投资管理机构或运用理财资金的理财投资合作机构实施符合法律法规规定或协议等相关法律文件约定的行为导致理财产品被动提前终止；</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因法律法规变化或国家金融政策调整、紧急措施出台影响产品继续正常运作；</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产品存续期内规模低于</w:t>
            </w:r>
            <w:r>
              <w:rPr>
                <w:rFonts w:asciiTheme="minorEastAsia" w:hAnsiTheme="minorEastAsia" w:eastAsiaTheme="minorEastAsia" w:cstheme="minorEastAsia"/>
                <w:sz w:val="24"/>
                <w:szCs w:val="24"/>
              </w:rPr>
              <w:t>20000</w:t>
            </w:r>
            <w:r>
              <w:rPr>
                <w:rFonts w:hint="eastAsia" w:asciiTheme="minorEastAsia" w:hAnsiTheme="minorEastAsia" w:eastAsiaTheme="minorEastAsia" w:cstheme="minorEastAsia"/>
                <w:sz w:val="24"/>
                <w:szCs w:val="24"/>
              </w:rPr>
              <w:t>万元或投资底层资产发生重大变化，导致不能继续投资的；</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为保护客户利益，产品管理人可根据市场及投资运作情况提前终止本产品；</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法律法规规定或监管部门认定的其他情形。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3" w:hRule="atLeast"/>
          <w:jc w:val="center"/>
        </w:trPr>
        <w:tc>
          <w:tcPr>
            <w:tcW w:w="2026" w:type="dxa"/>
            <w:tcMar>
              <w:top w:w="15" w:type="dxa"/>
              <w:left w:w="15" w:type="dxa"/>
              <w:bottom w:w="0" w:type="dxa"/>
              <w:right w:w="15" w:type="dxa"/>
            </w:tcMar>
            <w:vAlign w:val="center"/>
          </w:tcPr>
          <w:p>
            <w:pPr>
              <w:spacing w:line="360" w:lineRule="auto"/>
              <w:jc w:val="left"/>
              <w:rPr>
                <w:rFonts w:ascii="黑体" w:hAnsi="黑体" w:eastAsia="黑体" w:cs="黑体"/>
                <w:b/>
                <w:bCs/>
                <w:sz w:val="24"/>
                <w:szCs w:val="24"/>
              </w:rPr>
            </w:pPr>
            <w:r>
              <w:rPr>
                <w:rFonts w:hint="eastAsia" w:ascii="黑体" w:hAnsi="黑体" w:eastAsia="黑体" w:cs="黑体"/>
                <w:b/>
                <w:bCs/>
                <w:sz w:val="24"/>
                <w:szCs w:val="24"/>
              </w:rPr>
              <w:t>税收问题</w:t>
            </w:r>
          </w:p>
        </w:tc>
        <w:tc>
          <w:tcPr>
            <w:tcW w:w="7608" w:type="dxa"/>
            <w:tcMar>
              <w:top w:w="15" w:type="dxa"/>
              <w:left w:w="15" w:type="dxa"/>
              <w:bottom w:w="0" w:type="dxa"/>
              <w:right w:w="15" w:type="dxa"/>
            </w:tcMar>
            <w:vAlign w:val="center"/>
          </w:tcPr>
          <w:p>
            <w:pPr>
              <w:numPr>
                <w:ilvl w:val="0"/>
                <w:numId w:val="15"/>
              </w:numPr>
              <w:spacing w:line="360" w:lineRule="auto"/>
              <w:rPr>
                <w:rFonts w:ascii="宋体" w:hAnsi="宋体" w:cs="宋体"/>
                <w:sz w:val="24"/>
                <w:szCs w:val="24"/>
              </w:rPr>
            </w:pPr>
            <w:r>
              <w:rPr>
                <w:rFonts w:hint="eastAsia" w:ascii="宋体" w:hAnsi="宋体" w:cs="宋体"/>
                <w:sz w:val="24"/>
                <w:szCs w:val="24"/>
              </w:rPr>
              <w:t>根据财政部、国家税务总局相关税收监管政策的规定，理财产品运营过程中发生的增值税应税行为，以理财产品管理人为增值税纳税人，计算、申报并缴纳增值税及附加税费（包括但不限于城市维护建设税、</w:t>
            </w:r>
          </w:p>
          <w:p>
            <w:pPr>
              <w:spacing w:line="360" w:lineRule="auto"/>
              <w:rPr>
                <w:rFonts w:ascii="宋体" w:hAnsi="宋体" w:cs="宋体"/>
                <w:sz w:val="24"/>
                <w:szCs w:val="24"/>
              </w:rPr>
            </w:pPr>
            <w:r>
              <w:rPr>
                <w:rFonts w:hint="eastAsia" w:ascii="宋体" w:hAnsi="宋体" w:cs="宋体"/>
                <w:sz w:val="24"/>
                <w:szCs w:val="24"/>
              </w:rPr>
              <w:t>教育费附加及地方教育附加等）。</w:t>
            </w:r>
          </w:p>
          <w:p>
            <w:pPr>
              <w:spacing w:line="360" w:lineRule="auto"/>
              <w:rPr>
                <w:rFonts w:ascii="宋体" w:hAnsi="宋体" w:cs="宋体"/>
                <w:sz w:val="24"/>
                <w:szCs w:val="24"/>
              </w:rPr>
            </w:pPr>
            <w:r>
              <w:rPr>
                <w:rFonts w:hint="eastAsia" w:ascii="宋体" w:hAnsi="宋体" w:cs="宋体"/>
                <w:sz w:val="24"/>
                <w:szCs w:val="24"/>
              </w:rPr>
              <w:t>2.本理财产品的实际收益为扣除增值税及附加税等税费后的收益。</w:t>
            </w:r>
          </w:p>
          <w:p>
            <w:pPr>
              <w:spacing w:line="360" w:lineRule="auto"/>
              <w:rPr>
                <w:rFonts w:asciiTheme="minorEastAsia" w:hAnsiTheme="minorEastAsia" w:eastAsiaTheme="minorEastAsia" w:cstheme="minorEastAsia"/>
                <w:sz w:val="24"/>
                <w:szCs w:val="24"/>
              </w:rPr>
            </w:pPr>
            <w:r>
              <w:rPr>
                <w:rFonts w:hint="eastAsia" w:ascii="宋体" w:hAnsi="宋体" w:cs="宋体"/>
                <w:sz w:val="24"/>
                <w:szCs w:val="24"/>
              </w:rPr>
              <w:t>3.产品管理人暂不负责代扣代缴客户购买本产品所得收益应缴纳的各项税款。后续若相关法律法规、税收政策规定产品管理人应代扣代缴相关税款，产品管理人有权依法履行代扣代缴义务。</w:t>
            </w:r>
          </w:p>
        </w:tc>
      </w:tr>
    </w:tbl>
    <w:p>
      <w:pPr>
        <w:pStyle w:val="4"/>
        <w:numPr>
          <w:ilvl w:val="0"/>
          <w:numId w:val="1"/>
        </w:numPr>
        <w:spacing w:line="360" w:lineRule="auto"/>
        <w:ind w:left="0" w:leftChars="0" w:firstLine="482" w:firstLineChars="200"/>
        <w:outlineLvl w:val="0"/>
        <w:rPr>
          <w:rFonts w:ascii="宋体" w:hAnsi="宋体" w:cs="宋体"/>
          <w:sz w:val="24"/>
          <w:szCs w:val="24"/>
        </w:rPr>
      </w:pPr>
      <w:r>
        <w:rPr>
          <w:rFonts w:hint="eastAsia" w:ascii="黑体" w:hAnsi="黑体" w:eastAsia="黑体" w:cs="黑体"/>
          <w:b/>
          <w:bCs/>
          <w:sz w:val="24"/>
          <w:szCs w:val="24"/>
        </w:rPr>
        <w:t>内部风险评级：</w:t>
      </w:r>
    </w:p>
    <w:tbl>
      <w:tblPr>
        <w:tblStyle w:val="11"/>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467"/>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b/>
                <w:bCs/>
                <w:sz w:val="24"/>
                <w:szCs w:val="24"/>
              </w:rPr>
            </w:pPr>
            <w:r>
              <w:rPr>
                <w:rFonts w:hint="eastAsia" w:ascii="黑体" w:hAnsi="黑体" w:eastAsia="黑体" w:cs="黑体"/>
                <w:b/>
                <w:bCs/>
                <w:sz w:val="24"/>
                <w:szCs w:val="24"/>
              </w:rPr>
              <w:t>产品风险评级</w:t>
            </w:r>
          </w:p>
        </w:tc>
        <w:tc>
          <w:tcPr>
            <w:tcW w:w="14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b/>
                <w:bCs/>
                <w:sz w:val="24"/>
                <w:szCs w:val="24"/>
              </w:rPr>
            </w:pPr>
            <w:r>
              <w:rPr>
                <w:rFonts w:hint="eastAsia" w:ascii="黑体" w:hAnsi="黑体" w:eastAsia="黑体" w:cs="黑体"/>
                <w:b/>
                <w:bCs/>
                <w:sz w:val="24"/>
                <w:szCs w:val="24"/>
              </w:rPr>
              <w:t>风险程度</w:t>
            </w:r>
          </w:p>
        </w:tc>
        <w:tc>
          <w:tcPr>
            <w:tcW w:w="47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cs="黑体"/>
                <w:b/>
                <w:bCs/>
                <w:sz w:val="24"/>
                <w:szCs w:val="24"/>
              </w:rPr>
            </w:pPr>
            <w:r>
              <w:rPr>
                <w:rFonts w:hint="eastAsia" w:ascii="黑体" w:hAnsi="黑体" w:eastAsia="黑体" w:cs="黑体"/>
                <w:b/>
                <w:bCs/>
                <w:sz w:val="24"/>
                <w:szCs w:val="24"/>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Style w:val="14"/>
                <w:rFonts w:ascii="宋体" w:hAnsi="宋体" w:cs="宋体"/>
                <w:sz w:val="24"/>
                <w:szCs w:val="24"/>
              </w:rPr>
            </w:pPr>
            <w:r>
              <w:rPr>
                <w:rStyle w:val="14"/>
                <w:rFonts w:hint="eastAsia" w:ascii="宋体" w:hAnsi="宋体" w:cs="宋体"/>
                <w:sz w:val="24"/>
                <w:szCs w:val="24"/>
              </w:rPr>
              <w:t>一级</w:t>
            </w:r>
          </w:p>
        </w:tc>
        <w:tc>
          <w:tcPr>
            <w:tcW w:w="1467" w:type="dxa"/>
            <w:tcBorders>
              <w:top w:val="single" w:color="auto" w:sz="4" w:space="0"/>
              <w:left w:val="single" w:color="auto" w:sz="4" w:space="0"/>
              <w:bottom w:val="single" w:color="auto" w:sz="4" w:space="0"/>
              <w:right w:val="single" w:color="auto" w:sz="4" w:space="0"/>
            </w:tcBorders>
          </w:tcPr>
          <w:p>
            <w:pPr>
              <w:spacing w:line="360" w:lineRule="auto"/>
              <w:jc w:val="center"/>
              <w:rPr>
                <w:rStyle w:val="14"/>
                <w:rFonts w:ascii="宋体" w:hAnsi="宋体" w:cs="宋体"/>
                <w:b w:val="0"/>
                <w:bCs w:val="0"/>
                <w:sz w:val="24"/>
                <w:szCs w:val="24"/>
              </w:rPr>
            </w:pPr>
            <w:r>
              <w:rPr>
                <w:rStyle w:val="14"/>
                <w:rFonts w:hint="eastAsia" w:ascii="宋体" w:hAnsi="宋体" w:cs="宋体"/>
                <w:sz w:val="24"/>
                <w:szCs w:val="24"/>
              </w:rPr>
              <w:t>低</w:t>
            </w:r>
          </w:p>
        </w:tc>
        <w:tc>
          <w:tcPr>
            <w:tcW w:w="47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ascii="宋体" w:hAnsi="宋体" w:cs="宋体"/>
                <w:sz w:val="24"/>
                <w:szCs w:val="24"/>
              </w:rPr>
              <w:t>保守、稳健、平衡、成长、进取型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Style w:val="14"/>
                <w:rFonts w:ascii="宋体" w:hAnsi="宋体" w:cs="宋体"/>
                <w:sz w:val="24"/>
                <w:szCs w:val="24"/>
              </w:rPr>
            </w:pPr>
            <w:r>
              <w:rPr>
                <w:rStyle w:val="14"/>
                <w:rFonts w:hint="eastAsia" w:ascii="宋体" w:hAnsi="宋体" w:cs="宋体"/>
                <w:sz w:val="24"/>
                <w:szCs w:val="24"/>
              </w:rPr>
              <w:t>二级</w:t>
            </w:r>
          </w:p>
        </w:tc>
        <w:tc>
          <w:tcPr>
            <w:tcW w:w="1467" w:type="dxa"/>
            <w:tcBorders>
              <w:top w:val="single" w:color="auto" w:sz="4" w:space="0"/>
              <w:left w:val="single" w:color="auto" w:sz="4" w:space="0"/>
              <w:bottom w:val="single" w:color="auto" w:sz="4" w:space="0"/>
              <w:right w:val="single" w:color="auto" w:sz="4" w:space="0"/>
            </w:tcBorders>
          </w:tcPr>
          <w:p>
            <w:pPr>
              <w:spacing w:line="360" w:lineRule="auto"/>
              <w:jc w:val="center"/>
              <w:rPr>
                <w:rStyle w:val="14"/>
                <w:rFonts w:ascii="宋体" w:hAnsi="宋体" w:cs="宋体"/>
                <w:b w:val="0"/>
                <w:bCs w:val="0"/>
                <w:sz w:val="24"/>
                <w:szCs w:val="24"/>
              </w:rPr>
            </w:pPr>
            <w:r>
              <w:rPr>
                <w:rStyle w:val="14"/>
                <w:rFonts w:hint="eastAsia" w:ascii="宋体" w:hAnsi="宋体" w:cs="宋体"/>
                <w:sz w:val="24"/>
                <w:szCs w:val="24"/>
              </w:rPr>
              <w:t>中低</w:t>
            </w:r>
          </w:p>
        </w:tc>
        <w:tc>
          <w:tcPr>
            <w:tcW w:w="47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稳健、平衡、成长、进取型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Style w:val="14"/>
                <w:rFonts w:ascii="宋体" w:hAnsi="宋体" w:cs="宋体"/>
                <w:sz w:val="24"/>
                <w:szCs w:val="24"/>
              </w:rPr>
            </w:pPr>
            <w:r>
              <w:rPr>
                <w:rStyle w:val="14"/>
                <w:rFonts w:hint="eastAsia" w:ascii="宋体" w:hAnsi="宋体" w:cs="宋体"/>
                <w:sz w:val="24"/>
                <w:szCs w:val="24"/>
              </w:rPr>
              <w:t>三级</w:t>
            </w:r>
          </w:p>
        </w:tc>
        <w:tc>
          <w:tcPr>
            <w:tcW w:w="1467" w:type="dxa"/>
            <w:tcBorders>
              <w:top w:val="single" w:color="auto" w:sz="4" w:space="0"/>
              <w:left w:val="single" w:color="auto" w:sz="4" w:space="0"/>
              <w:bottom w:val="single" w:color="auto" w:sz="4" w:space="0"/>
              <w:right w:val="single" w:color="auto" w:sz="4" w:space="0"/>
            </w:tcBorders>
          </w:tcPr>
          <w:p>
            <w:pPr>
              <w:spacing w:line="360" w:lineRule="auto"/>
              <w:jc w:val="center"/>
              <w:rPr>
                <w:rStyle w:val="14"/>
                <w:b w:val="0"/>
                <w:bCs w:val="0"/>
              </w:rPr>
            </w:pPr>
            <w:r>
              <w:rPr>
                <w:rStyle w:val="14"/>
                <w:rFonts w:hint="eastAsia" w:ascii="宋体" w:hAnsi="宋体" w:cs="宋体"/>
                <w:sz w:val="24"/>
                <w:szCs w:val="24"/>
              </w:rPr>
              <w:t>中</w:t>
            </w:r>
          </w:p>
        </w:tc>
        <w:tc>
          <w:tcPr>
            <w:tcW w:w="47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平衡、成长、进取型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Style w:val="14"/>
                <w:rFonts w:ascii="宋体" w:hAnsi="宋体" w:cs="宋体"/>
                <w:sz w:val="24"/>
                <w:szCs w:val="24"/>
              </w:rPr>
            </w:pPr>
            <w:r>
              <w:rPr>
                <w:rStyle w:val="14"/>
                <w:rFonts w:hint="eastAsia" w:ascii="宋体" w:hAnsi="宋体" w:cs="宋体"/>
                <w:sz w:val="24"/>
                <w:szCs w:val="24"/>
              </w:rPr>
              <w:t>四级</w:t>
            </w:r>
          </w:p>
        </w:tc>
        <w:tc>
          <w:tcPr>
            <w:tcW w:w="14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Style w:val="14"/>
                <w:rFonts w:hint="eastAsia" w:ascii="宋体" w:hAnsi="宋体" w:cs="宋体"/>
                <w:sz w:val="24"/>
                <w:szCs w:val="24"/>
              </w:rPr>
              <w:t>中高</w:t>
            </w:r>
          </w:p>
        </w:tc>
        <w:tc>
          <w:tcPr>
            <w:tcW w:w="47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成长、进取型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Style w:val="14"/>
                <w:rFonts w:ascii="宋体" w:hAnsi="宋体" w:cs="宋体"/>
                <w:sz w:val="24"/>
                <w:szCs w:val="24"/>
              </w:rPr>
            </w:pPr>
            <w:r>
              <w:rPr>
                <w:rStyle w:val="14"/>
                <w:rFonts w:hint="eastAsia" w:ascii="宋体" w:hAnsi="宋体" w:cs="宋体"/>
                <w:sz w:val="24"/>
                <w:szCs w:val="24"/>
              </w:rPr>
              <w:t>五级</w:t>
            </w:r>
          </w:p>
        </w:tc>
        <w:tc>
          <w:tcPr>
            <w:tcW w:w="14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Style w:val="14"/>
                <w:rFonts w:hint="eastAsia" w:ascii="宋体" w:hAnsi="宋体" w:cs="宋体"/>
                <w:sz w:val="24"/>
                <w:szCs w:val="24"/>
              </w:rPr>
              <w:t>高</w:t>
            </w:r>
          </w:p>
        </w:tc>
        <w:tc>
          <w:tcPr>
            <w:tcW w:w="47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进取型</w:t>
            </w:r>
          </w:p>
        </w:tc>
      </w:tr>
    </w:tbl>
    <w:p>
      <w:pPr>
        <w:spacing w:line="360" w:lineRule="auto"/>
        <w:ind w:firstLine="482" w:firstLineChars="200"/>
        <w:rPr>
          <w:rStyle w:val="14"/>
          <w:rFonts w:ascii="宋体" w:hAnsi="宋体" w:cs="宋体"/>
          <w:b w:val="0"/>
          <w:sz w:val="24"/>
          <w:szCs w:val="24"/>
        </w:rPr>
      </w:pPr>
      <w:r>
        <w:rPr>
          <w:rFonts w:hint="eastAsia" w:ascii="黑体" w:hAnsi="黑体" w:eastAsia="黑体" w:cs="黑体"/>
          <w:b/>
          <w:bCs/>
          <w:sz w:val="24"/>
          <w:szCs w:val="24"/>
        </w:rPr>
        <w:t>重要提示</w:t>
      </w:r>
      <w:r>
        <w:rPr>
          <w:rFonts w:hint="eastAsia" w:ascii="黑体" w:hAnsi="黑体" w:eastAsia="黑体" w:cs="黑体"/>
          <w:b/>
          <w:bCs/>
          <w:kern w:val="0"/>
          <w:sz w:val="24"/>
          <w:szCs w:val="24"/>
        </w:rPr>
        <w:t>：</w:t>
      </w:r>
      <w:r>
        <w:rPr>
          <w:rStyle w:val="14"/>
          <w:rFonts w:hint="eastAsia" w:ascii="宋体" w:hAnsi="宋体" w:cs="宋体"/>
          <w:b w:val="0"/>
          <w:bCs w:val="0"/>
          <w:sz w:val="24"/>
          <w:szCs w:val="24"/>
        </w:rPr>
        <w:t>根</w:t>
      </w:r>
      <w:r>
        <w:rPr>
          <w:rStyle w:val="14"/>
          <w:rFonts w:hint="eastAsia" w:ascii="宋体" w:hAnsi="宋体" w:cs="宋体"/>
          <w:b w:val="0"/>
          <w:sz w:val="24"/>
          <w:szCs w:val="24"/>
        </w:rPr>
        <w:t>据理财产品风险评级标准，本产品风险评级为一级，对应风险程度为“低”，适合</w:t>
      </w:r>
      <w:r>
        <w:rPr>
          <w:rFonts w:hint="eastAsia" w:ascii="宋体" w:hAnsi="宋体" w:cs="宋体"/>
          <w:sz w:val="24"/>
          <w:szCs w:val="24"/>
        </w:rPr>
        <w:t>保守、</w:t>
      </w:r>
      <w:r>
        <w:rPr>
          <w:rStyle w:val="14"/>
          <w:rFonts w:hint="eastAsia" w:ascii="宋体" w:hAnsi="宋体" w:cs="宋体"/>
          <w:b w:val="0"/>
          <w:bCs w:val="0"/>
          <w:sz w:val="24"/>
          <w:szCs w:val="24"/>
        </w:rPr>
        <w:t>稳健、平衡、成长、进取型</w:t>
      </w:r>
      <w:r>
        <w:rPr>
          <w:rFonts w:hint="eastAsia" w:ascii="宋体" w:hAnsi="宋体" w:cs="宋体"/>
          <w:sz w:val="24"/>
          <w:szCs w:val="24"/>
        </w:rPr>
        <w:t>的个人投资者，机构投资者</w:t>
      </w:r>
      <w:r>
        <w:rPr>
          <w:rStyle w:val="14"/>
          <w:rFonts w:hint="eastAsia" w:ascii="宋体" w:hAnsi="宋体" w:cs="宋体"/>
          <w:b w:val="0"/>
          <w:sz w:val="24"/>
          <w:szCs w:val="24"/>
        </w:rPr>
        <w:t>购买。</w:t>
      </w:r>
    </w:p>
    <w:p>
      <w:pPr>
        <w:pStyle w:val="4"/>
        <w:numPr>
          <w:ilvl w:val="0"/>
          <w:numId w:val="1"/>
        </w:numPr>
        <w:spacing w:line="360" w:lineRule="auto"/>
        <w:ind w:left="0" w:leftChars="0" w:firstLine="482" w:firstLineChars="200"/>
        <w:outlineLvl w:val="0"/>
        <w:rPr>
          <w:rStyle w:val="14"/>
          <w:rFonts w:ascii="黑体" w:hAnsi="黑体" w:eastAsia="黑体" w:cs="黑体"/>
          <w:sz w:val="24"/>
          <w:szCs w:val="24"/>
        </w:rPr>
      </w:pPr>
      <w:r>
        <w:rPr>
          <w:rStyle w:val="14"/>
          <w:rFonts w:ascii="黑体" w:hAnsi="黑体" w:eastAsia="黑体" w:cs="黑体"/>
          <w:sz w:val="24"/>
          <w:szCs w:val="24"/>
        </w:rPr>
        <w:t xml:space="preserve"> </w:t>
      </w:r>
      <w:r>
        <w:rPr>
          <w:rStyle w:val="14"/>
          <w:rFonts w:hint="eastAsia" w:ascii="黑体" w:hAnsi="黑体" w:eastAsia="黑体" w:cs="黑体"/>
          <w:sz w:val="24"/>
          <w:szCs w:val="24"/>
        </w:rPr>
        <w:t>计息说明</w:t>
      </w:r>
    </w:p>
    <w:p>
      <w:pPr>
        <w:spacing w:line="360" w:lineRule="auto"/>
        <w:ind w:firstLine="480" w:firstLineChars="200"/>
        <w:rPr>
          <w:rStyle w:val="14"/>
          <w:b w:val="0"/>
          <w:bCs w:val="0"/>
          <w:sz w:val="24"/>
          <w:szCs w:val="24"/>
        </w:rPr>
      </w:pPr>
      <w:r>
        <w:rPr>
          <w:rStyle w:val="14"/>
          <w:rFonts w:hint="eastAsia"/>
          <w:b w:val="0"/>
          <w:sz w:val="24"/>
          <w:szCs w:val="24"/>
        </w:rPr>
        <w:t>认购期内，购买日至成立日之间，投资者资金按活期存款利率计算利息；产品成立后，</w:t>
      </w:r>
      <w:r>
        <w:rPr>
          <w:rStyle w:val="14"/>
          <w:rFonts w:hint="eastAsia"/>
          <w:b w:val="0"/>
          <w:bCs w:val="0"/>
          <w:sz w:val="24"/>
          <w:szCs w:val="24"/>
        </w:rPr>
        <w:t>申购日至确认份额日之间，投资者资金按活期存款利率计算利息；持有产品份额期间，按照产品</w:t>
      </w:r>
      <w:r>
        <w:rPr>
          <w:rStyle w:val="14"/>
          <w:rFonts w:hint="eastAsia"/>
          <w:b w:val="0"/>
          <w:sz w:val="24"/>
          <w:szCs w:val="24"/>
        </w:rPr>
        <w:t>收益及分配原则</w:t>
      </w:r>
      <w:r>
        <w:rPr>
          <w:rStyle w:val="14"/>
          <w:rFonts w:hint="eastAsia"/>
          <w:b w:val="0"/>
          <w:bCs w:val="0"/>
          <w:sz w:val="24"/>
          <w:szCs w:val="24"/>
        </w:rPr>
        <w:t>进行份额分红；产品赎回确认日至赎回资金到账日之间，投资者资金不计利息；若产品不成立，投资者资金在原定成立日至到账日之间不计息；若</w:t>
      </w:r>
      <w:r>
        <w:rPr>
          <w:rStyle w:val="14"/>
          <w:rFonts w:hint="eastAsia"/>
          <w:b w:val="0"/>
          <w:sz w:val="24"/>
          <w:szCs w:val="24"/>
        </w:rPr>
        <w:t>产品提前终止，</w:t>
      </w:r>
      <w:r>
        <w:rPr>
          <w:rStyle w:val="14"/>
          <w:rFonts w:hint="eastAsia"/>
          <w:b w:val="0"/>
          <w:bCs w:val="0"/>
          <w:sz w:val="24"/>
          <w:szCs w:val="24"/>
        </w:rPr>
        <w:t>则终止日至到账日之间，投资者资金不计利息。</w:t>
      </w:r>
    </w:p>
    <w:p>
      <w:pPr>
        <w:pStyle w:val="4"/>
        <w:widowControl/>
        <w:numPr>
          <w:ilvl w:val="0"/>
          <w:numId w:val="1"/>
        </w:numPr>
        <w:spacing w:line="360" w:lineRule="auto"/>
        <w:ind w:left="0" w:leftChars="0" w:firstLine="480" w:firstLineChars="200"/>
        <w:outlineLvl w:val="0"/>
        <w:rPr>
          <w:rStyle w:val="14"/>
          <w:rFonts w:ascii="黑体" w:hAnsi="黑体" w:eastAsia="黑体" w:cs="黑体"/>
          <w:sz w:val="24"/>
          <w:szCs w:val="24"/>
        </w:rPr>
      </w:pPr>
      <w:r>
        <w:rPr>
          <w:rStyle w:val="14"/>
          <w:rFonts w:hint="eastAsia" w:ascii="黑体" w:hAnsi="黑体" w:eastAsia="黑体" w:cs="黑体"/>
          <w:b w:val="0"/>
          <w:bCs w:val="0"/>
          <w:sz w:val="24"/>
          <w:szCs w:val="24"/>
        </w:rPr>
        <w:t xml:space="preserve">  </w:t>
      </w:r>
      <w:r>
        <w:rPr>
          <w:rStyle w:val="14"/>
          <w:rFonts w:hint="eastAsia" w:ascii="黑体" w:hAnsi="黑体" w:eastAsia="黑体" w:cs="黑体"/>
          <w:sz w:val="24"/>
          <w:szCs w:val="24"/>
        </w:rPr>
        <w:t>投资管理</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4</w:t>
      </w:r>
      <w:r>
        <w:rPr>
          <w:rStyle w:val="14"/>
          <w:rFonts w:hint="eastAsia" w:ascii="宋体" w:hAnsi="宋体"/>
          <w:b w:val="0"/>
          <w:sz w:val="24"/>
          <w:szCs w:val="24"/>
        </w:rPr>
        <w:t>.1  投资范围</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（一）现金；</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（二）期限在1年以内（含1年）的银行存款、债券回购、中央银行票据、同业存单；</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（三）剩余期限在397天以内（含397天）的债券、在银行间市场和证券交易所市场发行的资产支持证券；</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（四）银保监会、中国人民银行认可的其他具有良好流动性的货币市场工具。</w:t>
      </w:r>
    </w:p>
    <w:p>
      <w:pPr>
        <w:spacing w:line="360" w:lineRule="auto"/>
        <w:ind w:firstLine="480" w:firstLineChars="200"/>
        <w:rPr>
          <w:rStyle w:val="14"/>
          <w:rFonts w:ascii="宋体" w:hAnsi="宋体"/>
          <w:b w:val="0"/>
          <w:bCs w:val="0"/>
          <w:sz w:val="24"/>
          <w:szCs w:val="24"/>
        </w:rPr>
      </w:pPr>
      <w:r>
        <w:rPr>
          <w:rStyle w:val="14"/>
          <w:rFonts w:hint="eastAsia" w:ascii="宋体" w:hAnsi="宋体"/>
          <w:b w:val="0"/>
          <w:bCs w:val="0"/>
          <w:sz w:val="24"/>
          <w:szCs w:val="24"/>
        </w:rPr>
        <w:t>本理财产品可以按照国务院金融管理部门相关规定开展回购业务，回购业务中可接受押品的资质要求与本说明书约定的投资范围保持一致。</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本产品的上述投资范围将有可能随国家法律法规及监管政策的变化而产生变化，如投资范围等发生变化，产品管理人将通过</w:t>
      </w:r>
      <w:r>
        <w:rPr>
          <w:rFonts w:hint="eastAsia" w:ascii="宋体" w:hAnsi="宋体" w:cs="宋体"/>
          <w:sz w:val="24"/>
          <w:szCs w:val="24"/>
        </w:rPr>
        <w:t>贵州银行官方信息披露途径进行公告</w:t>
      </w:r>
      <w:r>
        <w:rPr>
          <w:rStyle w:val="14"/>
          <w:rFonts w:hint="eastAsia" w:ascii="宋体" w:hAnsi="宋体"/>
          <w:b w:val="0"/>
          <w:sz w:val="24"/>
          <w:szCs w:val="24"/>
        </w:rPr>
        <w:t>。若因市场发生重大变化导致本产品在存续期间投资比例暂时超出规定区间，本产品管理人将恪尽职守，在以保障投资人合法权益的前提下，按照监管要求在规定时间内恢复到规定投资比例区间。</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 xml:space="preserve">4.2  </w:t>
      </w:r>
      <w:r>
        <w:rPr>
          <w:rStyle w:val="14"/>
          <w:rFonts w:hint="eastAsia" w:ascii="宋体" w:hAnsi="宋体"/>
          <w:b w:val="0"/>
          <w:sz w:val="24"/>
          <w:szCs w:val="24"/>
        </w:rPr>
        <w:t>主要拟投资市场及资产流动性评估</w:t>
      </w:r>
    </w:p>
    <w:p>
      <w:pPr>
        <w:widowControl/>
        <w:spacing w:line="360" w:lineRule="auto"/>
        <w:ind w:firstLine="480" w:firstLineChars="200"/>
        <w:rPr>
          <w:rStyle w:val="29"/>
          <w:rFonts w:hint="default"/>
          <w:color w:val="auto"/>
        </w:rPr>
      </w:pPr>
      <w:r>
        <w:rPr>
          <w:rStyle w:val="29"/>
          <w:rFonts w:hint="default"/>
          <w:color w:val="auto"/>
        </w:rPr>
        <w:t>本理财产品主要拟投资的市场为证券交易所、全国银行间债券市场，主要投资的资产包括银行间债券、交易所债券、其他货币市场工具等符合监管要求的种类，具体投资资产与比例在监管要求内进行配置。</w:t>
      </w:r>
    </w:p>
    <w:p>
      <w:pPr>
        <w:widowControl/>
        <w:spacing w:line="360" w:lineRule="auto"/>
        <w:ind w:firstLine="480" w:firstLineChars="200"/>
        <w:rPr>
          <w:rStyle w:val="29"/>
          <w:rFonts w:hint="default"/>
          <w:color w:val="auto"/>
        </w:rPr>
      </w:pPr>
      <w:r>
        <w:rPr>
          <w:rStyle w:val="29"/>
          <w:rFonts w:hint="default"/>
          <w:color w:val="auto"/>
        </w:rPr>
        <w:t>银行间债券流动性由高到低主要为以下三类：一是国债和政策性金融债，该类资产流动性较高；二是地方政府债、政策性银行之外金融机构发行的金融债（商业银行债、商业银行次级债券等），该类资产流动性次之；三是短期融资券、超短期融资券、中期票据和企业债，该类资产流动性与信用评级相关，一般评级越高流动性越好，但整体流动性弱于前两类资产。</w:t>
      </w:r>
    </w:p>
    <w:p>
      <w:pPr>
        <w:widowControl/>
        <w:spacing w:line="360" w:lineRule="auto"/>
        <w:ind w:firstLine="480" w:firstLineChars="200"/>
        <w:rPr>
          <w:rStyle w:val="29"/>
          <w:rFonts w:hint="default"/>
          <w:color w:val="auto"/>
        </w:rPr>
      </w:pPr>
      <w:r>
        <w:rPr>
          <w:rStyle w:val="29"/>
          <w:rFonts w:hint="default"/>
          <w:color w:val="auto"/>
        </w:rPr>
        <w:t>交易所债券主要包括三类：一是国债，流动性较好；二是地方政府债、证券公司债和政策银行债，该类资产在交易所发行量较小，成交相对不活跃；三是企业债和公司债，个券之间流动性差异较大。</w:t>
      </w:r>
    </w:p>
    <w:p>
      <w:pPr>
        <w:widowControl/>
        <w:spacing w:line="360" w:lineRule="auto"/>
        <w:ind w:firstLine="480" w:firstLineChars="200"/>
        <w:rPr>
          <w:rStyle w:val="29"/>
          <w:rFonts w:hint="default"/>
          <w:color w:val="auto"/>
        </w:rPr>
      </w:pPr>
      <w:r>
        <w:rPr>
          <w:rStyle w:val="29"/>
          <w:rFonts w:hint="default"/>
          <w:color w:val="auto"/>
        </w:rPr>
        <w:t>其他货币类市场工具主要包括同业存单、债券回购和存款。AAA级同业存单流动性较高；债券回购有确定到期日，无法提前支取，流动性高低与回购期限相关；存款分有提前支取条款和无提前支取条款两类，一般可提前支取的流动性好。</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4.3</w:t>
      </w:r>
      <w:r>
        <w:rPr>
          <w:rStyle w:val="14"/>
          <w:rFonts w:hint="eastAsia" w:ascii="宋体" w:hAnsi="宋体"/>
          <w:b w:val="0"/>
          <w:sz w:val="24"/>
          <w:szCs w:val="24"/>
        </w:rPr>
        <w:t>投资限制</w:t>
      </w:r>
    </w:p>
    <w:p>
      <w:pPr>
        <w:widowControl/>
        <w:spacing w:line="360" w:lineRule="auto"/>
        <w:ind w:firstLine="480" w:firstLineChars="200"/>
        <w:outlineLvl w:val="1"/>
        <w:rPr>
          <w:rStyle w:val="14"/>
          <w:rFonts w:ascii="宋体" w:hAnsi="宋体"/>
          <w:b w:val="0"/>
          <w:sz w:val="24"/>
          <w:szCs w:val="24"/>
        </w:rPr>
      </w:pPr>
      <w:r>
        <w:rPr>
          <w:rStyle w:val="14"/>
          <w:rFonts w:ascii="宋体" w:hAnsi="宋体"/>
          <w:b w:val="0"/>
          <w:sz w:val="24"/>
          <w:szCs w:val="24"/>
        </w:rPr>
        <w:t>4</w:t>
      </w:r>
      <w:r>
        <w:rPr>
          <w:rStyle w:val="14"/>
          <w:rFonts w:hint="eastAsia" w:ascii="宋体" w:hAnsi="宋体"/>
          <w:b w:val="0"/>
          <w:sz w:val="24"/>
          <w:szCs w:val="24"/>
        </w:rPr>
        <w:t>.</w:t>
      </w:r>
      <w:r>
        <w:rPr>
          <w:rStyle w:val="14"/>
          <w:rFonts w:ascii="宋体" w:hAnsi="宋体"/>
          <w:b w:val="0"/>
          <w:sz w:val="24"/>
          <w:szCs w:val="24"/>
        </w:rPr>
        <w:t>3.1</w:t>
      </w:r>
      <w:r>
        <w:rPr>
          <w:rStyle w:val="14"/>
          <w:rFonts w:hint="eastAsia" w:ascii="宋体" w:hAnsi="宋体"/>
          <w:b w:val="0"/>
          <w:sz w:val="24"/>
          <w:szCs w:val="24"/>
        </w:rPr>
        <w:t>禁止投资范围</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（一）股票；</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（二）可转换债券、可交换债券；</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（三）以定期存款利率为基准利率的浮动利率债券，已进入最后一个利率调整期的除外；</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（四）信用等级在AA+以下的债券、资产支持证券；</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（五）银保监会、中国人民银行禁止投资的其他金融工具。</w:t>
      </w:r>
    </w:p>
    <w:p>
      <w:pPr>
        <w:widowControl/>
        <w:spacing w:line="360" w:lineRule="auto"/>
        <w:ind w:firstLine="480" w:firstLineChars="200"/>
        <w:outlineLvl w:val="1"/>
        <w:rPr>
          <w:rStyle w:val="14"/>
          <w:rFonts w:ascii="宋体" w:hAnsi="宋体"/>
          <w:b w:val="0"/>
          <w:sz w:val="24"/>
          <w:szCs w:val="24"/>
        </w:rPr>
      </w:pPr>
      <w:r>
        <w:rPr>
          <w:rStyle w:val="14"/>
          <w:rFonts w:hint="eastAsia" w:ascii="宋体" w:hAnsi="宋体"/>
          <w:b w:val="0"/>
          <w:sz w:val="24"/>
          <w:szCs w:val="24"/>
        </w:rPr>
        <w:t>4</w:t>
      </w:r>
      <w:r>
        <w:rPr>
          <w:rStyle w:val="14"/>
          <w:rFonts w:ascii="宋体" w:hAnsi="宋体"/>
          <w:b w:val="0"/>
          <w:sz w:val="24"/>
          <w:szCs w:val="24"/>
        </w:rPr>
        <w:t xml:space="preserve">.3.2 </w:t>
      </w:r>
      <w:r>
        <w:rPr>
          <w:rStyle w:val="14"/>
          <w:rFonts w:hint="eastAsia" w:ascii="宋体" w:hAnsi="宋体"/>
          <w:b w:val="0"/>
          <w:sz w:val="24"/>
          <w:szCs w:val="24"/>
        </w:rPr>
        <w:t>本产品资产集中度应符合以下要求：</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（一）投资于同一机构发行的债券及其作为原始权益人的资产支持证券的比例合计不超过本产品资产净值的10%，投资于国债、中央银行票据、政策性金融债券的除外。</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二）投资于所有主体信用评级低于AAA的机构发行的金融工具的比例合计不超过本产品资产净值的10%，其中单一机构发行的金融工具的比例合计不得超过本产品资产净值的2%；本款所称金融工具包括债券、银行存款、同业存单、相关机构作为原始权益人的资产支持证券及银保监会认可的其他金融工具。</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三）投资于有固定期限银行存款的比例合计不超过本产品资产净值的30%，投资于有存款期限，根据协议可提前支取的银行存款除外；本产品投资于主体信用评级为AAA的同一商业银行的银行存款、同业存单占本产品资产净值的比例合计不得超过20%。</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（四）产品管理人发行的全部现金管理类产品投资于同一商业银行的存款、同业存单和债券，不得超过产品管理人最近一个季度末净资产的10%。</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（五）本产品若投资于主体信用评级低于AA+的商业银行的银行存款与同业存单的，应当经本机构董事会审议批准，相关交易应当事先告知托管机构，并作为重大事项履行信息披露程序。</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非主观因素导致突破前款各项比例限制的，产品管理人应当在10个交易日内调整至符合要求，银保监会规定的特殊情形除外。</w:t>
      </w:r>
    </w:p>
    <w:p>
      <w:pPr>
        <w:widowControl/>
        <w:spacing w:line="360" w:lineRule="auto"/>
        <w:ind w:firstLine="480" w:firstLineChars="200"/>
        <w:outlineLvl w:val="1"/>
        <w:rPr>
          <w:rStyle w:val="14"/>
          <w:rFonts w:ascii="宋体" w:hAnsi="宋体"/>
          <w:b w:val="0"/>
          <w:sz w:val="24"/>
          <w:szCs w:val="24"/>
        </w:rPr>
      </w:pPr>
      <w:r>
        <w:rPr>
          <w:rStyle w:val="14"/>
          <w:rFonts w:ascii="宋体" w:hAnsi="宋体"/>
          <w:b w:val="0"/>
          <w:sz w:val="24"/>
          <w:szCs w:val="24"/>
        </w:rPr>
        <w:t>4.3.3</w:t>
      </w:r>
      <w:r>
        <w:rPr>
          <w:rStyle w:val="14"/>
          <w:rFonts w:hint="eastAsia" w:ascii="宋体" w:hAnsi="宋体"/>
          <w:b w:val="0"/>
          <w:sz w:val="24"/>
          <w:szCs w:val="24"/>
        </w:rPr>
        <w:t>本</w:t>
      </w:r>
      <w:r>
        <w:rPr>
          <w:rStyle w:val="14"/>
          <w:rFonts w:ascii="宋体" w:hAnsi="宋体"/>
          <w:b w:val="0"/>
          <w:sz w:val="24"/>
          <w:szCs w:val="24"/>
        </w:rPr>
        <w:t>产品应当确保持有足够的具有良好流动性的资产，投资组合应符合以下要求：</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（一）持有不低于本产品资产净值5%的现金、国债、中央银行票据、政策性金融债券；</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（二）持有不低于本产品资产净值10%的现金、国债、中央银行票据、政策性金融债券以及五个交易日内到期的其他金融工具；</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三）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本产品资产净值的10%；</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（四）产品的杠杆水平不得超过120%，发生巨额赎回、连续3个交易日累计赎回20%以上或者连续5个交易日累计赎回30%以上的情形除外。</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非主观因素导致突破前款第（二）（四）项比例限制的，产品管理人应当在10个交易日内调整至符合要求；非主观因素导致突破前款第（三）项比例限制的，产品管理人不得主动新增流动性受限资产的投资。</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4</w:t>
      </w:r>
      <w:r>
        <w:rPr>
          <w:rStyle w:val="14"/>
          <w:rFonts w:ascii="宋体" w:hAnsi="宋体"/>
          <w:b w:val="0"/>
          <w:sz w:val="24"/>
          <w:szCs w:val="24"/>
        </w:rPr>
        <w:t xml:space="preserve">.4 </w:t>
      </w:r>
      <w:r>
        <w:rPr>
          <w:rStyle w:val="14"/>
          <w:rFonts w:hint="eastAsia" w:ascii="宋体" w:hAnsi="宋体"/>
          <w:b w:val="0"/>
          <w:sz w:val="24"/>
          <w:szCs w:val="24"/>
        </w:rPr>
        <w:t>本产品投资组合的平均剩余期限不超过120天，平均剩余存续期限不超过240天，并需根据投资者集中度情况对投资组合实施调整：</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一）当前10名投资者的持有份额合计超过现金管理类产品总份额的50%时，投资组合的平均剩余期限不得超过60天，平均剩余存续期限不得超过120天，投资组合中现金、国债、中央银行票据、政策性金融债券以及5个交易日内到期的其他金融工具占该产品资产净值的比例合计不得低于30%；</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二）当前10名投资者的持有份额合计超过现金管理类产品总份额的20%时，投资组合的平均剩余期限不得超过90天，平均剩余存续期限不得超过180天，投资组合中现金、国债、中央银行票据、政策性金融债券以及5个交易日内到期的其他金融工具占该产品资产净值的比例合计不得低于20%。</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非因产品管理人主观因素导致突破本条款所述比例限制的，产品管理人应当在10个交易日内调整至符合要求，银保监会规定的特殊情形除外。</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4</w:t>
      </w:r>
      <w:r>
        <w:rPr>
          <w:rStyle w:val="14"/>
          <w:rFonts w:hint="eastAsia" w:ascii="宋体" w:hAnsi="宋体"/>
          <w:b w:val="0"/>
          <w:sz w:val="24"/>
          <w:szCs w:val="24"/>
        </w:rPr>
        <w:t>.</w:t>
      </w:r>
      <w:r>
        <w:rPr>
          <w:rStyle w:val="14"/>
          <w:rFonts w:ascii="宋体" w:hAnsi="宋体"/>
          <w:b w:val="0"/>
          <w:sz w:val="24"/>
          <w:szCs w:val="24"/>
        </w:rPr>
        <w:t>5</w:t>
      </w:r>
      <w:r>
        <w:rPr>
          <w:rStyle w:val="14"/>
          <w:rFonts w:hint="eastAsia" w:ascii="宋体" w:hAnsi="宋体"/>
          <w:b w:val="0"/>
          <w:sz w:val="24"/>
          <w:szCs w:val="24"/>
        </w:rPr>
        <w:t xml:space="preserve"> 本产品的建仓期为</w:t>
      </w:r>
      <w:r>
        <w:rPr>
          <w:rStyle w:val="14"/>
          <w:rFonts w:ascii="宋体" w:hAnsi="宋体"/>
          <w:b w:val="0"/>
          <w:sz w:val="24"/>
          <w:szCs w:val="24"/>
          <w:u w:val="single"/>
        </w:rPr>
        <w:t>13天</w:t>
      </w:r>
      <w:r>
        <w:rPr>
          <w:rStyle w:val="14"/>
          <w:rFonts w:hint="eastAsia" w:ascii="宋体" w:hAnsi="宋体"/>
          <w:b w:val="0"/>
          <w:sz w:val="24"/>
          <w:szCs w:val="24"/>
        </w:rPr>
        <w:t>，</w:t>
      </w:r>
      <w:r>
        <w:rPr>
          <w:rStyle w:val="14"/>
          <w:rFonts w:hint="eastAsia" w:ascii="宋体" w:hAnsi="宋体" w:cs="Times New Roman"/>
          <w:b w:val="0"/>
          <w:sz w:val="24"/>
          <w:szCs w:val="24"/>
        </w:rPr>
        <w:t>建仓期结束后，本产品的资产组合应当符合法律、行政法规、中国银保监会规定和合同约定投资范围和比例。</w:t>
      </w:r>
    </w:p>
    <w:p>
      <w:pPr>
        <w:widowControl/>
        <w:spacing w:line="360" w:lineRule="auto"/>
        <w:ind w:firstLine="480" w:firstLineChars="200"/>
        <w:rPr>
          <w:rStyle w:val="14"/>
          <w:rFonts w:ascii="宋体" w:hAnsi="宋体"/>
          <w:b w:val="0"/>
          <w:bCs w:val="0"/>
          <w:sz w:val="24"/>
          <w:szCs w:val="24"/>
        </w:rPr>
      </w:pPr>
      <w:r>
        <w:rPr>
          <w:rStyle w:val="14"/>
          <w:rFonts w:ascii="宋体" w:hAnsi="宋体"/>
          <w:b w:val="0"/>
          <w:sz w:val="24"/>
          <w:szCs w:val="24"/>
        </w:rPr>
        <w:t>4</w:t>
      </w:r>
      <w:r>
        <w:rPr>
          <w:rStyle w:val="14"/>
          <w:rFonts w:hint="eastAsia" w:ascii="宋体" w:hAnsi="宋体"/>
          <w:b w:val="0"/>
          <w:sz w:val="24"/>
          <w:szCs w:val="24"/>
        </w:rPr>
        <w:t>.</w:t>
      </w:r>
      <w:r>
        <w:rPr>
          <w:rStyle w:val="14"/>
          <w:rFonts w:ascii="宋体" w:hAnsi="宋体"/>
          <w:b w:val="0"/>
          <w:sz w:val="24"/>
          <w:szCs w:val="24"/>
        </w:rPr>
        <w:t>6</w:t>
      </w:r>
      <w:r>
        <w:rPr>
          <w:rStyle w:val="14"/>
          <w:rFonts w:hint="eastAsia" w:ascii="宋体" w:hAnsi="宋体"/>
          <w:b w:val="0"/>
          <w:bCs w:val="0"/>
          <w:sz w:val="24"/>
          <w:szCs w:val="24"/>
        </w:rPr>
        <w:t xml:space="preserve"> 产品管理人</w:t>
      </w:r>
    </w:p>
    <w:p>
      <w:pPr>
        <w:widowControl/>
        <w:spacing w:line="360" w:lineRule="auto"/>
        <w:ind w:firstLine="480" w:firstLineChars="200"/>
        <w:rPr>
          <w:rStyle w:val="14"/>
          <w:rFonts w:ascii="宋体" w:hAnsi="宋体"/>
          <w:b w:val="0"/>
          <w:bCs w:val="0"/>
          <w:sz w:val="24"/>
          <w:szCs w:val="24"/>
        </w:rPr>
      </w:pPr>
      <w:r>
        <w:rPr>
          <w:rStyle w:val="14"/>
          <w:rFonts w:hint="eastAsia" w:ascii="宋体" w:hAnsi="宋体"/>
          <w:b w:val="0"/>
          <w:bCs w:val="0"/>
          <w:sz w:val="24"/>
          <w:szCs w:val="24"/>
        </w:rPr>
        <w:t>本产品的管理人为贵州银行。贵州银行接受投资者的委托和授权，按照本产品约定的投资方向和方式进行投资和资产管理，代表投资者签订投资和资产管理过程中涉及到的协议、合同等文本。</w:t>
      </w:r>
    </w:p>
    <w:p>
      <w:pPr>
        <w:pStyle w:val="4"/>
        <w:widowControl/>
        <w:numPr>
          <w:ilvl w:val="0"/>
          <w:numId w:val="1"/>
        </w:numPr>
        <w:spacing w:line="360" w:lineRule="auto"/>
        <w:ind w:left="0" w:leftChars="0" w:firstLine="482" w:firstLineChars="200"/>
        <w:outlineLvl w:val="0"/>
        <w:rPr>
          <w:rStyle w:val="14"/>
          <w:rFonts w:ascii="黑体" w:hAnsi="黑体" w:eastAsia="黑体" w:cs="黑体"/>
          <w:bCs w:val="0"/>
          <w:sz w:val="24"/>
          <w:szCs w:val="24"/>
        </w:rPr>
      </w:pPr>
      <w:r>
        <w:rPr>
          <w:rStyle w:val="14"/>
          <w:rFonts w:hint="eastAsia" w:ascii="黑体" w:hAnsi="黑体" w:eastAsia="黑体" w:cs="黑体"/>
          <w:bCs w:val="0"/>
          <w:sz w:val="24"/>
          <w:szCs w:val="24"/>
        </w:rPr>
        <w:t>产品估值</w:t>
      </w:r>
    </w:p>
    <w:p>
      <w:pPr>
        <w:widowControl/>
        <w:spacing w:line="360" w:lineRule="auto"/>
        <w:ind w:firstLine="480" w:firstLineChars="200"/>
        <w:outlineLvl w:val="1"/>
        <w:rPr>
          <w:rStyle w:val="14"/>
          <w:rFonts w:ascii="宋体" w:hAnsi="宋体"/>
          <w:b w:val="0"/>
          <w:sz w:val="24"/>
          <w:szCs w:val="24"/>
        </w:rPr>
      </w:pPr>
      <w:r>
        <w:rPr>
          <w:rStyle w:val="14"/>
          <w:rFonts w:ascii="宋体" w:hAnsi="宋体"/>
          <w:b w:val="0"/>
          <w:sz w:val="24"/>
          <w:szCs w:val="24"/>
        </w:rPr>
        <w:t>5</w:t>
      </w:r>
      <w:r>
        <w:rPr>
          <w:rStyle w:val="14"/>
          <w:rFonts w:hint="eastAsia" w:ascii="宋体" w:hAnsi="宋体"/>
          <w:b w:val="0"/>
          <w:sz w:val="24"/>
          <w:szCs w:val="24"/>
        </w:rPr>
        <w:t>.1  估值日</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本产品的估值日为每个工作日。</w:t>
      </w:r>
    </w:p>
    <w:p>
      <w:pPr>
        <w:widowControl/>
        <w:spacing w:line="360" w:lineRule="auto"/>
        <w:ind w:firstLine="480" w:firstLineChars="200"/>
        <w:outlineLvl w:val="1"/>
        <w:rPr>
          <w:rStyle w:val="14"/>
          <w:rFonts w:ascii="宋体" w:hAnsi="宋体"/>
          <w:b w:val="0"/>
          <w:sz w:val="24"/>
          <w:szCs w:val="24"/>
        </w:rPr>
      </w:pPr>
      <w:r>
        <w:rPr>
          <w:rStyle w:val="14"/>
          <w:rFonts w:ascii="宋体" w:hAnsi="宋体"/>
          <w:b w:val="0"/>
          <w:sz w:val="24"/>
          <w:szCs w:val="24"/>
        </w:rPr>
        <w:t>5</w:t>
      </w:r>
      <w:r>
        <w:rPr>
          <w:rStyle w:val="14"/>
          <w:rFonts w:hint="eastAsia" w:ascii="宋体" w:hAnsi="宋体"/>
          <w:b w:val="0"/>
          <w:sz w:val="24"/>
          <w:szCs w:val="24"/>
        </w:rPr>
        <w:t>.2  估值对象</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本产品所拥有的所有资产及负债。</w:t>
      </w:r>
    </w:p>
    <w:p>
      <w:pPr>
        <w:widowControl/>
        <w:spacing w:line="360" w:lineRule="auto"/>
        <w:ind w:firstLine="480" w:firstLineChars="200"/>
        <w:outlineLvl w:val="1"/>
        <w:rPr>
          <w:rStyle w:val="14"/>
          <w:rFonts w:ascii="宋体" w:hAnsi="宋体"/>
          <w:b w:val="0"/>
          <w:sz w:val="24"/>
          <w:szCs w:val="24"/>
        </w:rPr>
      </w:pPr>
      <w:r>
        <w:rPr>
          <w:rStyle w:val="14"/>
          <w:rFonts w:ascii="宋体" w:hAnsi="宋体"/>
          <w:b w:val="0"/>
          <w:sz w:val="24"/>
          <w:szCs w:val="24"/>
        </w:rPr>
        <w:t>5</w:t>
      </w:r>
      <w:r>
        <w:rPr>
          <w:rStyle w:val="14"/>
          <w:rFonts w:hint="eastAsia" w:ascii="宋体" w:hAnsi="宋体"/>
          <w:b w:val="0"/>
          <w:sz w:val="24"/>
          <w:szCs w:val="24"/>
        </w:rPr>
        <w:t>.3  估值方法</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5</w:t>
      </w:r>
      <w:r>
        <w:rPr>
          <w:rStyle w:val="14"/>
          <w:rFonts w:hint="eastAsia" w:ascii="宋体" w:hAnsi="宋体"/>
          <w:b w:val="0"/>
          <w:sz w:val="24"/>
          <w:szCs w:val="24"/>
        </w:rPr>
        <w:t>.3.1  存款类资产、买入返售金融资产、卖出回购金融资产款</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以成本列示，按商定利率在实际持有期间内逐日计提利息。</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5</w:t>
      </w:r>
      <w:r>
        <w:rPr>
          <w:rStyle w:val="14"/>
          <w:rFonts w:hint="eastAsia" w:ascii="宋体" w:hAnsi="宋体"/>
          <w:b w:val="0"/>
          <w:sz w:val="24"/>
          <w:szCs w:val="24"/>
        </w:rPr>
        <w:t>.3.2  在境内银行间市场和证券交易所流通的债券、同业存单、资产支持证券等标准化固定收益类资产</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若产品投资上述资产以收取合同现金流量为目的并持有到期，且符合监管要求的，可按照企业会计准则以摊余成本进行计量，并采用影子定价的风险控制手段，对摊余成本法计量的资产净值的公允性进行评估。</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其它不符合上述条件的，以公允价值计量，可选择第三方估值机构（中债、中证等）提供的相应品种的估值净价或交易所收盘价进行估值。</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未上市的债券且第三方估值机构（中债、中证等）未提供估值价格的，使用估值技术确定其公允价值。</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资产支持证券和私募债，如交易活跃可采用市价法作为公允价值；如交易不活跃，可采用第三方估值机构（中债、中证等）估值结果或相应的估值技术确定其公允价值。</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5</w:t>
      </w:r>
      <w:r>
        <w:rPr>
          <w:rStyle w:val="14"/>
          <w:rFonts w:hint="eastAsia" w:ascii="宋体" w:hAnsi="宋体"/>
          <w:b w:val="0"/>
          <w:sz w:val="24"/>
          <w:szCs w:val="24"/>
        </w:rPr>
        <w:t>.3.3  若本产品存续期间持有其他上述条款未包含的投资品种，遵照会计准则及监管政策等要求，以产品管理人和托管人共同认可的方法估值。</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5</w:t>
      </w:r>
      <w:r>
        <w:rPr>
          <w:rStyle w:val="14"/>
          <w:rFonts w:hint="eastAsia" w:ascii="宋体" w:hAnsi="宋体"/>
          <w:b w:val="0"/>
          <w:sz w:val="24"/>
          <w:szCs w:val="24"/>
        </w:rPr>
        <w:t>.3.4  在任何情况下，如采用以上规定的方法对资产进行估值，均应被认为采用了适当的估值方法。但是，如果产品管理人或托管人认为按以上规定的方法对本产品资产进行估值不能客观反映其公允价值的，可协商一致后，变更其估值方式，并从协商一致日起执行。</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5</w:t>
      </w:r>
      <w:r>
        <w:rPr>
          <w:rStyle w:val="14"/>
          <w:rFonts w:hint="eastAsia" w:ascii="宋体" w:hAnsi="宋体"/>
          <w:b w:val="0"/>
          <w:sz w:val="24"/>
          <w:szCs w:val="24"/>
        </w:rPr>
        <w:t>.3.5  对于以上估值方法，相关法律法规以及监管部门有另行规定的，按照监管最新规定执行。</w:t>
      </w:r>
    </w:p>
    <w:p>
      <w:pPr>
        <w:pStyle w:val="4"/>
        <w:widowControl/>
        <w:numPr>
          <w:ilvl w:val="0"/>
          <w:numId w:val="1"/>
        </w:numPr>
        <w:spacing w:line="360" w:lineRule="auto"/>
        <w:outlineLvl w:val="0"/>
        <w:rPr>
          <w:rStyle w:val="14"/>
          <w:rFonts w:ascii="黑体" w:hAnsi="黑体" w:eastAsia="黑体" w:cs="黑体"/>
          <w:bCs w:val="0"/>
          <w:sz w:val="24"/>
          <w:szCs w:val="24"/>
        </w:rPr>
      </w:pPr>
      <w:r>
        <w:rPr>
          <w:rStyle w:val="14"/>
          <w:rFonts w:hint="eastAsia" w:ascii="黑体" w:hAnsi="黑体" w:eastAsia="黑体" w:cs="黑体"/>
          <w:bCs w:val="0"/>
          <w:sz w:val="24"/>
          <w:szCs w:val="24"/>
        </w:rPr>
        <w:t>收益和赎回资金确定</w:t>
      </w:r>
      <w:r>
        <w:rPr>
          <w:rStyle w:val="14"/>
          <w:rFonts w:ascii="黑体" w:hAnsi="黑体" w:eastAsia="黑体" w:cs="黑体"/>
          <w:bCs w:val="0"/>
          <w:sz w:val="24"/>
          <w:szCs w:val="24"/>
        </w:rPr>
        <w:t xml:space="preserve"> </w:t>
      </w:r>
    </w:p>
    <w:p>
      <w:pPr>
        <w:widowControl/>
        <w:spacing w:line="360" w:lineRule="auto"/>
        <w:ind w:firstLine="480" w:firstLineChars="200"/>
        <w:outlineLvl w:val="1"/>
        <w:rPr>
          <w:rStyle w:val="14"/>
          <w:rFonts w:ascii="宋体" w:hAnsi="宋体"/>
          <w:b w:val="0"/>
          <w:sz w:val="24"/>
          <w:szCs w:val="24"/>
        </w:rPr>
      </w:pPr>
      <w:r>
        <w:rPr>
          <w:rStyle w:val="14"/>
          <w:rFonts w:ascii="宋体" w:hAnsi="宋体"/>
          <w:b w:val="0"/>
          <w:sz w:val="24"/>
          <w:szCs w:val="24"/>
        </w:rPr>
        <w:t>6</w:t>
      </w:r>
      <w:r>
        <w:rPr>
          <w:rStyle w:val="14"/>
          <w:rFonts w:hint="eastAsia" w:ascii="宋体" w:hAnsi="宋体"/>
          <w:b w:val="0"/>
          <w:sz w:val="24"/>
          <w:szCs w:val="24"/>
        </w:rPr>
        <w:t>.1 收益</w:t>
      </w:r>
    </w:p>
    <w:p>
      <w:pPr>
        <w:widowControl/>
        <w:spacing w:line="360" w:lineRule="auto"/>
        <w:ind w:firstLine="480" w:firstLineChars="200"/>
        <w:rPr>
          <w:rFonts w:asciiTheme="minorEastAsia" w:hAnsiTheme="minorEastAsia" w:eastAsiaTheme="minorEastAsia" w:cstheme="minorEastAsia"/>
          <w:sz w:val="24"/>
          <w:szCs w:val="24"/>
        </w:rPr>
      </w:pPr>
      <w:r>
        <w:rPr>
          <w:rStyle w:val="14"/>
          <w:rFonts w:hint="eastAsia" w:ascii="宋体" w:hAnsi="宋体"/>
          <w:b w:val="0"/>
          <w:sz w:val="24"/>
          <w:szCs w:val="24"/>
        </w:rPr>
        <w:t>本产品为开放式净值型产品，产品</w:t>
      </w:r>
      <w:r>
        <w:rPr>
          <w:rStyle w:val="14"/>
          <w:rFonts w:hint="eastAsia" w:ascii="宋体" w:hAnsi="宋体"/>
          <w:b w:val="0"/>
          <w:sz w:val="24"/>
          <w:szCs w:val="24"/>
          <w:lang w:eastAsia="zh-CN"/>
        </w:rPr>
        <w:t>份额净值</w:t>
      </w:r>
      <w:r>
        <w:rPr>
          <w:rStyle w:val="14"/>
          <w:rFonts w:hint="eastAsia" w:ascii="宋体" w:hAnsi="宋体"/>
          <w:b w:val="0"/>
          <w:sz w:val="24"/>
          <w:szCs w:val="24"/>
        </w:rPr>
        <w:t>始终保持1.0000元，自产品成立日起每个工作日将实现的产品净收益（或净损失）以分红形式分配给理财产品份额持有人（计算结果小于0.01元的部分采取去尾规则处理），</w:t>
      </w:r>
      <w:r>
        <w:rPr>
          <w:rFonts w:hint="eastAsia" w:asciiTheme="minorEastAsia" w:hAnsiTheme="minorEastAsia" w:eastAsiaTheme="minorEastAsia" w:cstheme="minorEastAsia"/>
          <w:sz w:val="24"/>
          <w:szCs w:val="24"/>
        </w:rPr>
        <w:t>并于下一工作日（T+1）体现为投资者持有份额变化。</w:t>
      </w:r>
    </w:p>
    <w:p>
      <w:pPr>
        <w:widowControl/>
        <w:spacing w:line="360" w:lineRule="auto"/>
        <w:ind w:firstLine="480" w:firstLineChars="200"/>
        <w:rPr>
          <w:rStyle w:val="14"/>
          <w:rFonts w:ascii="宋体" w:hAnsi="宋体"/>
          <w:b w:val="0"/>
          <w:sz w:val="24"/>
          <w:szCs w:val="24"/>
        </w:rPr>
      </w:pPr>
      <w:r>
        <w:rPr>
          <w:rFonts w:hint="eastAsia" w:asciiTheme="minorEastAsia" w:hAnsiTheme="minorEastAsia" w:eastAsiaTheme="minorEastAsia" w:cstheme="minorEastAsia"/>
          <w:sz w:val="24"/>
          <w:szCs w:val="24"/>
        </w:rPr>
        <w:t>根据去尾规则处理的分红结果，可能存在分配后尾差。按照投资者账户持有份额从大到小的顺序，如果尾差大于0，将尾差以0.01份逐次分配给每户，直至尾差归零为止。</w:t>
      </w:r>
    </w:p>
    <w:p>
      <w:pPr>
        <w:widowControl/>
        <w:spacing w:line="360" w:lineRule="auto"/>
        <w:ind w:firstLine="480" w:firstLineChars="200"/>
        <w:outlineLvl w:val="1"/>
        <w:rPr>
          <w:rStyle w:val="14"/>
          <w:rFonts w:ascii="宋体" w:hAnsi="宋体"/>
          <w:b w:val="0"/>
          <w:sz w:val="24"/>
          <w:szCs w:val="24"/>
        </w:rPr>
      </w:pPr>
      <w:r>
        <w:rPr>
          <w:rStyle w:val="14"/>
          <w:rFonts w:ascii="宋体" w:hAnsi="宋体"/>
          <w:b w:val="0"/>
          <w:sz w:val="24"/>
          <w:szCs w:val="24"/>
        </w:rPr>
        <w:t>6</w:t>
      </w:r>
      <w:r>
        <w:rPr>
          <w:rStyle w:val="14"/>
          <w:rFonts w:hint="eastAsia" w:ascii="宋体" w:hAnsi="宋体"/>
          <w:b w:val="0"/>
          <w:sz w:val="24"/>
          <w:szCs w:val="24"/>
        </w:rPr>
        <w:t>.2 赎回资金到账及计算</w:t>
      </w:r>
    </w:p>
    <w:p>
      <w:pPr>
        <w:widowControl/>
        <w:spacing w:line="360" w:lineRule="auto"/>
        <w:ind w:firstLine="480" w:firstLineChars="200"/>
        <w:rPr>
          <w:rStyle w:val="14"/>
          <w:rFonts w:ascii="宋体" w:hAnsi="宋体"/>
          <w:b w:val="0"/>
          <w:sz w:val="24"/>
          <w:szCs w:val="24"/>
        </w:rPr>
      </w:pPr>
      <w:r>
        <w:rPr>
          <w:rStyle w:val="14"/>
          <w:rFonts w:ascii="宋体" w:hAnsi="宋体"/>
          <w:b w:val="0"/>
          <w:sz w:val="24"/>
          <w:szCs w:val="24"/>
        </w:rPr>
        <w:t>6</w:t>
      </w:r>
      <w:r>
        <w:rPr>
          <w:rStyle w:val="14"/>
          <w:rFonts w:hint="eastAsia" w:ascii="宋体" w:hAnsi="宋体"/>
          <w:b w:val="0"/>
          <w:sz w:val="24"/>
          <w:szCs w:val="24"/>
        </w:rPr>
        <w:t>.2.1 赎回资金到账：在不发生本产品所提示的风险的情况下，赎回确认</w:t>
      </w:r>
      <w:r>
        <w:rPr>
          <w:rFonts w:hint="eastAsia" w:asciiTheme="minorEastAsia" w:hAnsiTheme="minorEastAsia" w:eastAsiaTheme="minorEastAsia" w:cstheme="minorEastAsia"/>
          <w:sz w:val="24"/>
          <w:szCs w:val="24"/>
        </w:rPr>
        <w:t>成功的份额对应赎回资金将于赎回确认日三个工作日内划转至投资者账户</w:t>
      </w:r>
      <w:r>
        <w:rPr>
          <w:rStyle w:val="14"/>
          <w:rFonts w:hint="eastAsia" w:ascii="宋体" w:hAnsi="宋体"/>
          <w:b w:val="0"/>
          <w:sz w:val="24"/>
          <w:szCs w:val="24"/>
        </w:rPr>
        <w:t>。</w:t>
      </w:r>
    </w:p>
    <w:p>
      <w:pPr>
        <w:widowControl/>
        <w:spacing w:line="360" w:lineRule="auto"/>
        <w:ind w:firstLine="480" w:firstLineChars="200"/>
        <w:rPr>
          <w:rStyle w:val="14"/>
          <w:rFonts w:ascii="宋体" w:hAnsi="宋体" w:eastAsiaTheme="minorEastAsia"/>
          <w:b w:val="0"/>
          <w:sz w:val="24"/>
          <w:szCs w:val="24"/>
        </w:rPr>
      </w:pPr>
      <w:r>
        <w:rPr>
          <w:rStyle w:val="14"/>
          <w:rFonts w:ascii="宋体" w:hAnsi="宋体"/>
          <w:b w:val="0"/>
          <w:sz w:val="24"/>
          <w:szCs w:val="24"/>
        </w:rPr>
        <w:t>6</w:t>
      </w:r>
      <w:r>
        <w:rPr>
          <w:rStyle w:val="14"/>
          <w:rFonts w:hint="eastAsia" w:ascii="宋体" w:hAnsi="宋体"/>
          <w:b w:val="0"/>
          <w:sz w:val="24"/>
          <w:szCs w:val="24"/>
        </w:rPr>
        <w:t>.2.2 赎回资金计算：</w:t>
      </w:r>
      <w:r>
        <w:rPr>
          <w:rFonts w:hint="eastAsia" w:asciiTheme="minorEastAsia" w:hAnsiTheme="minorEastAsia" w:eastAsiaTheme="minorEastAsia" w:cstheme="minorEastAsia"/>
          <w:sz w:val="24"/>
          <w:szCs w:val="24"/>
        </w:rPr>
        <w:t>投资者赎回金额根据赎回份额计算，计算结果按截位法保留两位小数。</w:t>
      </w:r>
    </w:p>
    <w:p>
      <w:pPr>
        <w:pStyle w:val="4"/>
        <w:widowControl/>
        <w:numPr>
          <w:ilvl w:val="0"/>
          <w:numId w:val="1"/>
        </w:numPr>
        <w:spacing w:line="360" w:lineRule="auto"/>
        <w:ind w:left="0" w:leftChars="0" w:firstLine="482" w:firstLineChars="200"/>
        <w:outlineLvl w:val="0"/>
        <w:rPr>
          <w:rFonts w:ascii="黑体" w:hAnsi="黑体" w:eastAsia="黑体" w:cs="黑体"/>
          <w:b/>
          <w:sz w:val="24"/>
          <w:szCs w:val="24"/>
        </w:rPr>
      </w:pPr>
      <w:r>
        <w:rPr>
          <w:rFonts w:hint="eastAsia" w:ascii="黑体" w:hAnsi="黑体" w:eastAsia="黑体" w:cs="黑体"/>
          <w:b/>
          <w:sz w:val="24"/>
          <w:szCs w:val="24"/>
        </w:rPr>
        <w:t>产品费用</w:t>
      </w:r>
    </w:p>
    <w:p>
      <w:pPr>
        <w:widowControl/>
        <w:numPr>
          <w:ilvl w:val="255"/>
          <w:numId w:val="0"/>
        </w:numPr>
        <w:spacing w:line="360" w:lineRule="auto"/>
        <w:ind w:firstLine="480" w:firstLineChars="200"/>
        <w:rPr>
          <w:rFonts w:ascii="宋体" w:hAnsi="宋体" w:cs="宋体"/>
          <w:bCs/>
          <w:sz w:val="24"/>
          <w:szCs w:val="24"/>
        </w:rPr>
      </w:pPr>
      <w:r>
        <w:rPr>
          <w:rFonts w:ascii="宋体" w:hAnsi="宋体" w:cs="宋体"/>
          <w:bCs/>
          <w:sz w:val="24"/>
          <w:szCs w:val="24"/>
        </w:rPr>
        <w:t>7</w:t>
      </w:r>
      <w:r>
        <w:rPr>
          <w:rFonts w:hint="eastAsia" w:ascii="宋体" w:hAnsi="宋体" w:cs="宋体"/>
          <w:bCs/>
          <w:sz w:val="24"/>
          <w:szCs w:val="24"/>
        </w:rPr>
        <w:t>.1  税收：根据财政部、国家税务总局相关税收监管政策的规定，资管产品运营过程中发生的增值税应税行为包括贷款服务和金融商品转让，以资管产品管理人为增值税纳税人，计算、申报并缴纳增值税及附加税费（包括但不限于城市维护建设税、教育费附加及地方教育附加等）。</w:t>
      </w:r>
      <w:r>
        <w:rPr>
          <w:rFonts w:hint="eastAsia" w:ascii="宋体" w:hAnsi="宋体" w:cs="宋体"/>
          <w:b/>
          <w:sz w:val="24"/>
          <w:szCs w:val="24"/>
        </w:rPr>
        <w:t>贵州银行作为该理财产品管理人,将按照相关规定计算应缴纳的税费，并从理财产品财产中支付，由此可能会使理财产品净值或实际收益降低，请投资者知悉。</w:t>
      </w:r>
      <w:r>
        <w:rPr>
          <w:rFonts w:hint="eastAsia" w:ascii="宋体" w:hAnsi="宋体" w:cs="宋体"/>
          <w:bCs/>
          <w:sz w:val="24"/>
          <w:szCs w:val="24"/>
        </w:rPr>
        <w:t>后续国家法律法规如对相关税收政策进行调整，产品管理人有权根据税收政策相应调整理财产品运营过程中发生的税费的承担方式。</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投资者</w:t>
      </w:r>
      <w:r>
        <w:rPr>
          <w:rFonts w:hint="eastAsia" w:ascii="宋体" w:hAnsi="宋体" w:cs="宋体"/>
          <w:sz w:val="24"/>
          <w:szCs w:val="24"/>
        </w:rPr>
        <w:t>购买本产品所得收益应缴纳的各项税款</w:t>
      </w:r>
      <w:r>
        <w:rPr>
          <w:rFonts w:hint="eastAsia" w:ascii="宋体" w:hAnsi="宋体" w:cs="宋体"/>
          <w:bCs/>
          <w:sz w:val="24"/>
          <w:szCs w:val="24"/>
        </w:rPr>
        <w:t>，由投资者自行申报及缴纳，</w:t>
      </w:r>
      <w:r>
        <w:rPr>
          <w:rFonts w:hint="eastAsia" w:ascii="宋体" w:hAnsi="宋体" w:cs="宋体"/>
          <w:sz w:val="24"/>
          <w:szCs w:val="24"/>
        </w:rPr>
        <w:t>产品管理人不负责代扣代缴。</w:t>
      </w:r>
      <w:r>
        <w:rPr>
          <w:rFonts w:hint="eastAsia" w:ascii="宋体" w:hAnsi="宋体" w:cs="宋体"/>
          <w:bCs/>
          <w:sz w:val="24"/>
          <w:szCs w:val="24"/>
        </w:rPr>
        <w:t>若后续相关税收法规规定产品管理人应代扣代缴相关税款，产品管理人有权依法履行代扣代缴义务，投资者对此应给予配合。</w:t>
      </w:r>
    </w:p>
    <w:p>
      <w:pPr>
        <w:widowControl/>
        <w:spacing w:line="360" w:lineRule="auto"/>
        <w:ind w:firstLine="480" w:firstLineChars="200"/>
        <w:rPr>
          <w:rFonts w:ascii="宋体" w:hAnsi="宋体" w:cs="宋体"/>
          <w:bCs/>
          <w:sz w:val="24"/>
          <w:szCs w:val="24"/>
        </w:rPr>
      </w:pPr>
      <w:r>
        <w:rPr>
          <w:rFonts w:ascii="宋体" w:hAnsi="宋体" w:cs="宋体"/>
          <w:bCs/>
          <w:sz w:val="24"/>
          <w:szCs w:val="24"/>
        </w:rPr>
        <w:t>7</w:t>
      </w:r>
      <w:r>
        <w:rPr>
          <w:rFonts w:hint="eastAsia" w:ascii="宋体" w:hAnsi="宋体" w:cs="宋体"/>
          <w:bCs/>
          <w:sz w:val="24"/>
          <w:szCs w:val="24"/>
        </w:rPr>
        <w:t>.2  固定管理费：贵州银行作为该理财产品管理人收取的固定管理费用。本产品固定管理费按日计提，根据产品管理人指令支付。计算方法如下：</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H＝E*</w:t>
      </w:r>
      <w:r>
        <w:rPr>
          <w:rFonts w:ascii="宋体" w:hAnsi="宋体" w:cs="宋体"/>
          <w:bCs/>
          <w:sz w:val="24"/>
          <w:szCs w:val="24"/>
        </w:rPr>
        <w:t>F</w:t>
      </w:r>
      <w:r>
        <w:rPr>
          <w:rFonts w:hint="eastAsia" w:ascii="宋体" w:hAnsi="宋体" w:cs="宋体"/>
          <w:bCs/>
          <w:sz w:val="24"/>
          <w:szCs w:val="24"/>
        </w:rPr>
        <w:t>÷365；</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H为每日应计提的固定管理费；</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E为前一日资产净值；</w:t>
      </w:r>
    </w:p>
    <w:p>
      <w:pPr>
        <w:widowControl/>
        <w:spacing w:line="360" w:lineRule="auto"/>
        <w:ind w:firstLine="480" w:firstLineChars="200"/>
        <w:rPr>
          <w:rFonts w:ascii="宋体" w:hAnsi="宋体" w:cs="宋体"/>
          <w:bCs/>
          <w:sz w:val="24"/>
          <w:szCs w:val="24"/>
        </w:rPr>
      </w:pPr>
      <w:r>
        <w:rPr>
          <w:rFonts w:ascii="宋体" w:hAnsi="宋体" w:cs="宋体"/>
          <w:bCs/>
          <w:sz w:val="24"/>
          <w:szCs w:val="24"/>
        </w:rPr>
        <w:t>F</w:t>
      </w:r>
      <w:r>
        <w:rPr>
          <w:rFonts w:hint="eastAsia" w:ascii="宋体" w:hAnsi="宋体" w:cs="宋体"/>
          <w:bCs/>
          <w:sz w:val="24"/>
          <w:szCs w:val="24"/>
        </w:rPr>
        <w:t>为固定管理费费率（年化）。</w:t>
      </w:r>
    </w:p>
    <w:p>
      <w:pPr>
        <w:widowControl/>
        <w:spacing w:line="360" w:lineRule="auto"/>
        <w:ind w:firstLine="480" w:firstLineChars="200"/>
        <w:rPr>
          <w:rFonts w:ascii="宋体" w:hAnsi="宋体" w:cs="宋体"/>
          <w:bCs/>
          <w:sz w:val="24"/>
          <w:szCs w:val="24"/>
        </w:rPr>
      </w:pPr>
      <w:r>
        <w:rPr>
          <w:rFonts w:ascii="宋体" w:hAnsi="宋体" w:cs="宋体"/>
          <w:bCs/>
          <w:sz w:val="24"/>
          <w:szCs w:val="24"/>
        </w:rPr>
        <w:t>7</w:t>
      </w:r>
      <w:r>
        <w:rPr>
          <w:rFonts w:hint="eastAsia" w:ascii="宋体" w:hAnsi="宋体" w:cs="宋体"/>
          <w:bCs/>
          <w:sz w:val="24"/>
          <w:szCs w:val="24"/>
        </w:rPr>
        <w:t xml:space="preserve">.3  托管费：托管人收取的托管费用。本产品的托管费按日计提，根据产品管理人指令支付。计算方法如下： </w:t>
      </w:r>
    </w:p>
    <w:p>
      <w:pPr>
        <w:widowControl/>
        <w:spacing w:line="360" w:lineRule="auto"/>
        <w:ind w:firstLine="480" w:firstLineChars="200"/>
        <w:rPr>
          <w:rFonts w:ascii="宋体" w:hAnsi="宋体" w:cs="宋体"/>
          <w:bCs/>
          <w:sz w:val="24"/>
          <w:szCs w:val="24"/>
        </w:rPr>
      </w:pPr>
      <w:r>
        <w:rPr>
          <w:rFonts w:ascii="宋体" w:hAnsi="宋体" w:cs="宋体"/>
          <w:bCs/>
          <w:sz w:val="24"/>
          <w:szCs w:val="24"/>
        </w:rPr>
        <w:t>I</w:t>
      </w:r>
      <w:r>
        <w:rPr>
          <w:rFonts w:hint="eastAsia" w:ascii="宋体" w:hAnsi="宋体" w:cs="宋体"/>
          <w:bCs/>
          <w:sz w:val="24"/>
          <w:szCs w:val="24"/>
        </w:rPr>
        <w:t>＝E*</w:t>
      </w:r>
      <w:r>
        <w:rPr>
          <w:rFonts w:ascii="宋体" w:hAnsi="宋体" w:cs="宋体"/>
          <w:bCs/>
          <w:sz w:val="24"/>
          <w:szCs w:val="24"/>
        </w:rPr>
        <w:t>G</w:t>
      </w:r>
      <w:r>
        <w:rPr>
          <w:rFonts w:hint="eastAsia" w:ascii="宋体" w:hAnsi="宋体" w:cs="宋体"/>
          <w:bCs/>
          <w:sz w:val="24"/>
          <w:szCs w:val="24"/>
        </w:rPr>
        <w:t>÷365；</w:t>
      </w:r>
    </w:p>
    <w:p>
      <w:pPr>
        <w:widowControl/>
        <w:spacing w:line="360" w:lineRule="auto"/>
        <w:ind w:firstLine="480" w:firstLineChars="200"/>
        <w:rPr>
          <w:rFonts w:ascii="宋体" w:hAnsi="宋体" w:cs="宋体"/>
          <w:bCs/>
          <w:sz w:val="24"/>
          <w:szCs w:val="24"/>
        </w:rPr>
      </w:pPr>
      <w:r>
        <w:rPr>
          <w:rFonts w:ascii="宋体" w:hAnsi="宋体" w:cs="宋体"/>
          <w:bCs/>
          <w:sz w:val="24"/>
          <w:szCs w:val="24"/>
        </w:rPr>
        <w:t>I</w:t>
      </w:r>
      <w:r>
        <w:rPr>
          <w:rFonts w:hint="eastAsia" w:ascii="宋体" w:hAnsi="宋体" w:cs="宋体"/>
          <w:bCs/>
          <w:sz w:val="24"/>
          <w:szCs w:val="24"/>
        </w:rPr>
        <w:t>为每日应计提的托管费；</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E为前一日资产净值；</w:t>
      </w:r>
    </w:p>
    <w:p>
      <w:pPr>
        <w:widowControl/>
        <w:spacing w:line="360" w:lineRule="auto"/>
        <w:ind w:firstLine="480" w:firstLineChars="200"/>
        <w:rPr>
          <w:rFonts w:ascii="宋体" w:hAnsi="宋体" w:cs="宋体"/>
          <w:bCs/>
          <w:sz w:val="24"/>
          <w:szCs w:val="24"/>
        </w:rPr>
      </w:pPr>
      <w:r>
        <w:rPr>
          <w:rFonts w:ascii="宋体" w:hAnsi="宋体" w:cs="宋体"/>
          <w:bCs/>
          <w:sz w:val="24"/>
          <w:szCs w:val="24"/>
        </w:rPr>
        <w:t>G</w:t>
      </w:r>
      <w:r>
        <w:rPr>
          <w:rFonts w:hint="eastAsia" w:ascii="宋体" w:hAnsi="宋体" w:cs="宋体"/>
          <w:bCs/>
          <w:sz w:val="24"/>
          <w:szCs w:val="24"/>
        </w:rPr>
        <w:t>为托管费费率（年化）。</w:t>
      </w:r>
    </w:p>
    <w:p>
      <w:pPr>
        <w:widowControl/>
        <w:spacing w:line="360" w:lineRule="auto"/>
        <w:ind w:firstLine="480" w:firstLineChars="200"/>
        <w:rPr>
          <w:rFonts w:ascii="宋体" w:hAnsi="宋体" w:cs="宋体"/>
          <w:bCs/>
          <w:sz w:val="24"/>
          <w:szCs w:val="24"/>
        </w:rPr>
      </w:pPr>
      <w:r>
        <w:rPr>
          <w:rFonts w:ascii="宋体" w:hAnsi="宋体" w:cs="宋体"/>
          <w:bCs/>
          <w:sz w:val="24"/>
          <w:szCs w:val="24"/>
        </w:rPr>
        <w:t>7</w:t>
      </w:r>
      <w:r>
        <w:rPr>
          <w:rFonts w:hint="eastAsia" w:ascii="宋体" w:hAnsi="宋体" w:cs="宋体"/>
          <w:bCs/>
          <w:sz w:val="24"/>
          <w:szCs w:val="24"/>
        </w:rPr>
        <w:t>.4  销售费：其他机构代销贵州银行理财产品（如有）收取的销售费用，</w:t>
      </w:r>
    </w:p>
    <w:p>
      <w:pPr>
        <w:widowControl/>
        <w:spacing w:line="360" w:lineRule="auto"/>
        <w:rPr>
          <w:rFonts w:ascii="宋体" w:hAnsi="宋体" w:cs="宋体"/>
          <w:bCs/>
          <w:sz w:val="24"/>
          <w:szCs w:val="24"/>
        </w:rPr>
      </w:pPr>
      <w:r>
        <w:rPr>
          <w:rFonts w:hint="eastAsia" w:ascii="宋体" w:hAnsi="宋体" w:cs="宋体"/>
          <w:bCs/>
          <w:sz w:val="24"/>
          <w:szCs w:val="24"/>
        </w:rPr>
        <w:t>年化费率、支付方式及支付频率根据实际销售合同确定。</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7.5  其他费用：审计费、律师费、交易相关费用以及应监管要求所发生的各项管理费用等。</w:t>
      </w:r>
    </w:p>
    <w:p>
      <w:pPr>
        <w:widowControl/>
        <w:spacing w:line="360" w:lineRule="auto"/>
        <w:ind w:firstLine="480" w:firstLineChars="200"/>
        <w:rPr>
          <w:rFonts w:ascii="宋体" w:hAnsi="宋体" w:cs="宋体"/>
          <w:bCs/>
          <w:sz w:val="24"/>
          <w:szCs w:val="24"/>
        </w:rPr>
      </w:pPr>
      <w:r>
        <w:rPr>
          <w:rFonts w:ascii="宋体" w:hAnsi="宋体" w:cs="宋体"/>
          <w:bCs/>
          <w:sz w:val="24"/>
          <w:szCs w:val="24"/>
        </w:rPr>
        <w:t>7</w:t>
      </w:r>
      <w:r>
        <w:rPr>
          <w:rFonts w:hint="eastAsia" w:ascii="宋体" w:hAnsi="宋体" w:cs="宋体"/>
          <w:bCs/>
          <w:sz w:val="24"/>
          <w:szCs w:val="24"/>
        </w:rPr>
        <w:t>.6  收取赎回费的特殊情况：</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一）若本产品前10名投资者的持有份额合计超过该产品总份额50%，且投资组合中现金、国债、中央银行票据、政策性金融债券以及5个交易日内到期的其他金融工具占该产品资产净值的比例合计低于10%且偏离度为负时，对投资者超过该产品总份额1%以上的赎回申请征收1%的强制赎回费用。</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二）在满足相关流动性风险管理要求的前提下，当本产品持有的现金、国债、中央银行票据、政策性金融债券以及5个交易日内到期的其他金融工具占产品资产净值的比例合计低于5%且偏离度为负时，对投资者申请赎回份额超过现金管理类产品总份额1%以上的赎回申请征收1%的强制赎回费用。</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影子定价与摊余成本法确定的现金管理类产品资产净值的偏离度＝（NAVs</w:t>
      </w:r>
      <w:r>
        <w:rPr>
          <w:rFonts w:ascii="宋体" w:hAnsi="宋体" w:cs="宋体"/>
          <w:bCs/>
          <w:sz w:val="24"/>
          <w:szCs w:val="24"/>
        </w:rPr>
        <w:t>-</w:t>
      </w:r>
      <w:r>
        <w:rPr>
          <w:rFonts w:hint="eastAsia" w:ascii="宋体" w:hAnsi="宋体" w:cs="宋体"/>
          <w:bCs/>
          <w:sz w:val="24"/>
          <w:szCs w:val="24"/>
        </w:rPr>
        <w:t>NAVa）/NAVa。其中，NAVs为影子定价确定的现金管理类产品资产净值，NAVa为摊余成本法确定的现金管理类产品资产净值。</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上述赎回费用全额计入本产品财产。</w:t>
      </w:r>
    </w:p>
    <w:p>
      <w:pPr>
        <w:pStyle w:val="4"/>
        <w:widowControl/>
        <w:numPr>
          <w:ilvl w:val="0"/>
          <w:numId w:val="1"/>
        </w:numPr>
        <w:spacing w:line="360" w:lineRule="auto"/>
        <w:ind w:left="0" w:leftChars="0" w:firstLine="482" w:firstLineChars="200"/>
        <w:outlineLvl w:val="0"/>
        <w:rPr>
          <w:rStyle w:val="14"/>
          <w:rFonts w:ascii="黑体" w:hAnsi="黑体" w:eastAsia="黑体" w:cs="黑体"/>
          <w:sz w:val="24"/>
          <w:szCs w:val="24"/>
        </w:rPr>
      </w:pPr>
      <w:r>
        <w:rPr>
          <w:rStyle w:val="14"/>
          <w:rFonts w:hint="eastAsia" w:ascii="黑体" w:hAnsi="黑体" w:eastAsia="黑体" w:cs="黑体"/>
          <w:sz w:val="24"/>
          <w:szCs w:val="24"/>
        </w:rPr>
        <w:t>流动性安排</w:t>
      </w:r>
    </w:p>
    <w:p>
      <w:pPr>
        <w:widowControl/>
        <w:spacing w:line="360" w:lineRule="auto"/>
        <w:ind w:firstLine="480" w:firstLineChars="200"/>
        <w:outlineLvl w:val="1"/>
        <w:rPr>
          <w:rStyle w:val="14"/>
          <w:rFonts w:ascii="宋体" w:hAnsi="宋体" w:cs="宋体"/>
          <w:b w:val="0"/>
          <w:sz w:val="24"/>
          <w:szCs w:val="24"/>
        </w:rPr>
      </w:pPr>
      <w:r>
        <w:rPr>
          <w:rStyle w:val="14"/>
          <w:rFonts w:ascii="宋体" w:hAnsi="宋体" w:cs="宋体"/>
          <w:b w:val="0"/>
          <w:sz w:val="24"/>
          <w:szCs w:val="24"/>
        </w:rPr>
        <w:t>8</w:t>
      </w:r>
      <w:r>
        <w:rPr>
          <w:rStyle w:val="14"/>
          <w:rFonts w:hint="eastAsia" w:ascii="宋体" w:hAnsi="宋体" w:cs="宋体"/>
          <w:b w:val="0"/>
          <w:sz w:val="24"/>
          <w:szCs w:val="24"/>
        </w:rPr>
        <w:t>.1  提前终止的清算规则</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如产品管理人提前终止本理财产品，在提前终止后3个工作日内将投资者理财清算资金划转至投资者账户。</w:t>
      </w:r>
    </w:p>
    <w:p>
      <w:pPr>
        <w:widowControl/>
        <w:spacing w:line="360" w:lineRule="auto"/>
        <w:ind w:firstLine="480" w:firstLineChars="200"/>
        <w:outlineLvl w:val="1"/>
        <w:rPr>
          <w:rStyle w:val="14"/>
          <w:rFonts w:ascii="宋体" w:hAnsi="宋体"/>
          <w:b w:val="0"/>
          <w:bCs w:val="0"/>
          <w:sz w:val="24"/>
          <w:szCs w:val="24"/>
        </w:rPr>
      </w:pPr>
      <w:r>
        <w:rPr>
          <w:rStyle w:val="14"/>
          <w:rFonts w:ascii="宋体" w:hAnsi="宋体"/>
          <w:b w:val="0"/>
          <w:bCs w:val="0"/>
          <w:sz w:val="24"/>
          <w:szCs w:val="24"/>
        </w:rPr>
        <w:t>8.2 暂停估值</w:t>
      </w:r>
    </w:p>
    <w:p>
      <w:pPr>
        <w:widowControl/>
        <w:spacing w:line="360" w:lineRule="auto"/>
        <w:ind w:firstLine="480" w:firstLineChars="200"/>
        <w:rPr>
          <w:rStyle w:val="14"/>
          <w:rFonts w:ascii="宋体" w:hAnsi="宋体"/>
          <w:b w:val="0"/>
          <w:bCs w:val="0"/>
          <w:sz w:val="24"/>
          <w:szCs w:val="24"/>
        </w:rPr>
      </w:pPr>
      <w:r>
        <w:rPr>
          <w:rStyle w:val="14"/>
          <w:rFonts w:hint="eastAsia" w:ascii="宋体" w:hAnsi="宋体"/>
          <w:b w:val="0"/>
          <w:bCs w:val="0"/>
          <w:sz w:val="24"/>
          <w:szCs w:val="24"/>
        </w:rPr>
        <w:t>若理财产品在前一估值日内，产品资产净值</w:t>
      </w:r>
      <w:r>
        <w:rPr>
          <w:rStyle w:val="14"/>
          <w:rFonts w:ascii="宋体" w:hAnsi="宋体"/>
          <w:b w:val="0"/>
          <w:bCs w:val="0"/>
          <w:sz w:val="24"/>
          <w:szCs w:val="24"/>
        </w:rPr>
        <w:t>50%以上的资产不具备活跃交易市场或者在活跃市场中无报价，且不能采用估值技术可靠计量公允价值的，</w:t>
      </w:r>
      <w:r>
        <w:rPr>
          <w:rStyle w:val="14"/>
          <w:rFonts w:hint="eastAsia" w:ascii="宋体" w:hAnsi="宋体"/>
          <w:b w:val="0"/>
          <w:bCs w:val="0"/>
          <w:sz w:val="24"/>
          <w:szCs w:val="24"/>
        </w:rPr>
        <w:t>产品</w:t>
      </w:r>
      <w:r>
        <w:rPr>
          <w:rStyle w:val="14"/>
          <w:rFonts w:ascii="宋体" w:hAnsi="宋体"/>
          <w:b w:val="0"/>
          <w:bCs w:val="0"/>
          <w:sz w:val="24"/>
          <w:szCs w:val="24"/>
        </w:rPr>
        <w:t>管理人将暂停该产品估值，并采取延缓支付赎回款项或暂停接受理财产品</w:t>
      </w:r>
      <w:r>
        <w:rPr>
          <w:rStyle w:val="14"/>
          <w:rFonts w:hint="eastAsia" w:ascii="宋体" w:hAnsi="宋体"/>
          <w:b w:val="0"/>
          <w:bCs w:val="0"/>
          <w:sz w:val="24"/>
          <w:szCs w:val="24"/>
        </w:rPr>
        <w:t>申购、赎回申请等措施。</w:t>
      </w:r>
    </w:p>
    <w:p>
      <w:pPr>
        <w:widowControl/>
        <w:spacing w:line="360" w:lineRule="auto"/>
        <w:ind w:firstLine="480" w:firstLineChars="200"/>
        <w:outlineLvl w:val="1"/>
        <w:rPr>
          <w:rStyle w:val="14"/>
          <w:rFonts w:ascii="宋体" w:hAnsi="宋体"/>
          <w:b w:val="0"/>
          <w:sz w:val="24"/>
          <w:szCs w:val="24"/>
        </w:rPr>
      </w:pPr>
      <w:r>
        <w:rPr>
          <w:rStyle w:val="14"/>
          <w:rFonts w:ascii="宋体" w:hAnsi="宋体"/>
          <w:b w:val="0"/>
          <w:sz w:val="24"/>
          <w:szCs w:val="24"/>
        </w:rPr>
        <w:t>8.3</w:t>
      </w:r>
      <w:r>
        <w:rPr>
          <w:rStyle w:val="14"/>
          <w:rFonts w:hint="eastAsia" w:ascii="宋体" w:hAnsi="宋体"/>
          <w:b w:val="0"/>
          <w:sz w:val="24"/>
          <w:szCs w:val="24"/>
        </w:rPr>
        <w:t>流动性风险应对措施及对投资者的潜在影响</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产品管理人可以依照法律法规及理财产品合同的约定，综合运用以下理财产品流动性风险应对措施：</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（一）认/申购风险应对措施，包括：设定单一投资者认购金额上限、设定理财产品单日净认购比例上限、拒绝大额认购、暂停认购，以及银保监会规定的其他措施，投资者可能面临购买不成功的风险。</w:t>
      </w:r>
    </w:p>
    <w:p>
      <w:pPr>
        <w:widowControl/>
        <w:spacing w:line="360" w:lineRule="auto"/>
        <w:ind w:firstLine="480" w:firstLineChars="200"/>
        <w:rPr>
          <w:rStyle w:val="14"/>
          <w:rFonts w:ascii="宋体" w:hAnsi="宋体"/>
          <w:b w:val="0"/>
          <w:sz w:val="24"/>
          <w:szCs w:val="24"/>
        </w:rPr>
      </w:pPr>
      <w:r>
        <w:rPr>
          <w:rStyle w:val="14"/>
          <w:rFonts w:hint="eastAsia" w:ascii="宋体" w:hAnsi="宋体"/>
          <w:b w:val="0"/>
          <w:sz w:val="24"/>
          <w:szCs w:val="24"/>
        </w:rPr>
        <w:t>（二）赎回风险应对措施，包括：设置赎回上限、延期办理巨额赎回申请、暂停接受赎回申请、延缓支付赎回款项、收取短期赎回费、暂停理财产品估值，以及银保监会规定的其他措施，</w:t>
      </w:r>
      <w:r>
        <w:rPr>
          <w:rFonts w:hint="eastAsia" w:asciiTheme="minorEastAsia" w:hAnsiTheme="minorEastAsia" w:eastAsiaTheme="minorEastAsia" w:cstheme="minorEastAsia"/>
          <w:sz w:val="24"/>
          <w:szCs w:val="24"/>
        </w:rPr>
        <w:t>当连续2个以上开放日发生巨额赎回的，对于已经接受的赎回申请可能采取延缓支付赎回款项的措施，延缓期限最长不超过2</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个工作日，</w:t>
      </w:r>
      <w:r>
        <w:rPr>
          <w:rStyle w:val="14"/>
          <w:rFonts w:hint="eastAsia" w:ascii="宋体" w:hAnsi="宋体"/>
          <w:b w:val="0"/>
          <w:sz w:val="24"/>
          <w:szCs w:val="24"/>
        </w:rPr>
        <w:t>投资者可能面临赎回交易全部或部分确认失败、赎回款项延迟到账等风险。</w:t>
      </w:r>
    </w:p>
    <w:p>
      <w:pPr>
        <w:pStyle w:val="4"/>
        <w:widowControl/>
        <w:numPr>
          <w:ilvl w:val="0"/>
          <w:numId w:val="1"/>
        </w:numPr>
        <w:spacing w:line="360" w:lineRule="auto"/>
        <w:ind w:left="0" w:leftChars="0" w:firstLine="480" w:firstLineChars="200"/>
        <w:outlineLvl w:val="0"/>
        <w:rPr>
          <w:rStyle w:val="14"/>
          <w:rFonts w:ascii="黑体" w:hAnsi="黑体" w:eastAsia="黑体" w:cs="黑体"/>
          <w:sz w:val="24"/>
          <w:szCs w:val="24"/>
        </w:rPr>
      </w:pPr>
      <w:r>
        <w:rPr>
          <w:rStyle w:val="14"/>
          <w:rFonts w:ascii="黑体" w:hAnsi="黑体" w:eastAsia="黑体" w:cs="黑体"/>
          <w:b w:val="0"/>
          <w:bCs w:val="0"/>
          <w:sz w:val="24"/>
          <w:szCs w:val="24"/>
        </w:rPr>
        <w:t xml:space="preserve"> </w:t>
      </w:r>
      <w:r>
        <w:rPr>
          <w:rStyle w:val="14"/>
          <w:rFonts w:hint="eastAsia" w:ascii="黑体" w:hAnsi="黑体" w:eastAsia="黑体" w:cs="黑体"/>
          <w:sz w:val="24"/>
          <w:szCs w:val="24"/>
        </w:rPr>
        <w:t>信息披露</w:t>
      </w:r>
    </w:p>
    <w:p>
      <w:pPr>
        <w:widowControl/>
        <w:spacing w:line="360" w:lineRule="auto"/>
        <w:ind w:firstLine="480" w:firstLineChars="200"/>
        <w:outlineLvl w:val="1"/>
        <w:rPr>
          <w:rFonts w:ascii="宋体" w:hAnsi="宋体" w:cs="宋体"/>
          <w:sz w:val="24"/>
          <w:szCs w:val="24"/>
        </w:rPr>
      </w:pPr>
      <w:r>
        <w:rPr>
          <w:rFonts w:ascii="宋体" w:hAnsi="宋体" w:cs="宋体"/>
          <w:sz w:val="24"/>
          <w:szCs w:val="24"/>
        </w:rPr>
        <w:t>9</w:t>
      </w:r>
      <w:r>
        <w:rPr>
          <w:rFonts w:hint="eastAsia" w:ascii="宋体" w:hAnsi="宋体" w:cs="宋体"/>
          <w:sz w:val="24"/>
          <w:szCs w:val="24"/>
        </w:rPr>
        <w:t>.1  信息披露途径</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该产品信息披露通过贵州银行网站（</w:t>
      </w:r>
      <w:r>
        <w:rPr>
          <w:rFonts w:ascii="Helvetica" w:hAnsi="Helvetica" w:eastAsia="Helvetica"/>
          <w:bCs/>
        </w:rPr>
        <w:t>www.bgzchina.com</w:t>
      </w:r>
      <w:r>
        <w:rPr>
          <w:rFonts w:hint="eastAsia" w:ascii="宋体" w:hAnsi="宋体" w:cs="宋体"/>
          <w:sz w:val="24"/>
          <w:szCs w:val="24"/>
        </w:rPr>
        <w:t>）或相关营业网点发布相关信息公告。</w:t>
      </w:r>
    </w:p>
    <w:p>
      <w:pPr>
        <w:widowControl/>
        <w:spacing w:line="360" w:lineRule="auto"/>
        <w:ind w:firstLine="480" w:firstLineChars="200"/>
        <w:outlineLvl w:val="1"/>
        <w:rPr>
          <w:rFonts w:ascii="宋体" w:hAnsi="宋体" w:cs="宋体"/>
          <w:sz w:val="24"/>
          <w:szCs w:val="24"/>
        </w:rPr>
      </w:pPr>
      <w:r>
        <w:rPr>
          <w:rFonts w:ascii="宋体" w:hAnsi="宋体" w:cs="宋体"/>
          <w:sz w:val="24"/>
          <w:szCs w:val="24"/>
        </w:rPr>
        <w:t>9</w:t>
      </w:r>
      <w:r>
        <w:rPr>
          <w:rFonts w:hint="eastAsia" w:ascii="宋体" w:hAnsi="宋体" w:cs="宋体"/>
          <w:sz w:val="24"/>
          <w:szCs w:val="24"/>
        </w:rPr>
        <w:t>.2  产品运作信息披露</w:t>
      </w:r>
    </w:p>
    <w:p>
      <w:pPr>
        <w:widowControl/>
        <w:spacing w:line="360" w:lineRule="auto"/>
        <w:ind w:firstLine="480" w:firstLineChars="200"/>
        <w:rPr>
          <w:rFonts w:ascii="宋体" w:hAnsi="宋体" w:cs="宋体"/>
          <w:sz w:val="24"/>
          <w:szCs w:val="24"/>
        </w:rPr>
      </w:pPr>
      <w:r>
        <w:rPr>
          <w:rFonts w:ascii="宋体" w:hAnsi="宋体" w:cs="宋体"/>
          <w:sz w:val="24"/>
          <w:szCs w:val="24"/>
        </w:rPr>
        <w:t>9</w:t>
      </w:r>
      <w:r>
        <w:rPr>
          <w:rFonts w:hint="eastAsia" w:ascii="宋体" w:hAnsi="宋体" w:cs="宋体"/>
          <w:sz w:val="24"/>
          <w:szCs w:val="24"/>
        </w:rPr>
        <w:t>.2.1  本产品成立后5个工作日内披露发行公告，包括但不限于产品成立日期和募集规模等信息。</w:t>
      </w:r>
    </w:p>
    <w:p>
      <w:pPr>
        <w:widowControl/>
        <w:spacing w:line="360" w:lineRule="auto"/>
        <w:ind w:firstLine="480" w:firstLineChars="200"/>
        <w:rPr>
          <w:rFonts w:ascii="宋体" w:hAnsi="宋体" w:cs="宋体"/>
          <w:sz w:val="24"/>
          <w:szCs w:val="24"/>
        </w:rPr>
      </w:pPr>
      <w:r>
        <w:rPr>
          <w:rFonts w:ascii="宋体" w:hAnsi="宋体" w:cs="宋体"/>
          <w:sz w:val="24"/>
          <w:szCs w:val="24"/>
        </w:rPr>
        <w:t>9</w:t>
      </w:r>
      <w:r>
        <w:rPr>
          <w:rFonts w:hint="eastAsia" w:ascii="宋体" w:hAnsi="宋体" w:cs="宋体"/>
          <w:sz w:val="24"/>
          <w:szCs w:val="24"/>
        </w:rPr>
        <w:t>.2.2  本产品成立后，</w:t>
      </w:r>
      <w:r>
        <w:rPr>
          <w:rFonts w:ascii="宋体" w:hAnsi="宋体" w:cs="宋体"/>
          <w:sz w:val="24"/>
          <w:szCs w:val="24"/>
        </w:rPr>
        <w:t>每个开放日结束后2</w:t>
      </w:r>
      <w:r>
        <w:rPr>
          <w:rFonts w:hint="eastAsia" w:ascii="宋体" w:hAnsi="宋体" w:cs="宋体"/>
          <w:sz w:val="24"/>
          <w:szCs w:val="24"/>
        </w:rPr>
        <w:t>个工作</w:t>
      </w:r>
      <w:r>
        <w:rPr>
          <w:rFonts w:ascii="宋体" w:hAnsi="宋体" w:cs="宋体"/>
          <w:sz w:val="24"/>
          <w:szCs w:val="24"/>
        </w:rPr>
        <w:t>日内</w:t>
      </w:r>
      <w:r>
        <w:rPr>
          <w:rFonts w:hint="eastAsia" w:ascii="宋体" w:hAnsi="宋体" w:cs="宋体"/>
          <w:sz w:val="24"/>
          <w:szCs w:val="24"/>
        </w:rPr>
        <w:t>披露开放日的份额净值、份额累计净值、认申购价格和赎回价格。</w:t>
      </w:r>
    </w:p>
    <w:p>
      <w:pPr>
        <w:widowControl/>
        <w:spacing w:line="360" w:lineRule="auto"/>
        <w:ind w:firstLine="480" w:firstLineChars="200"/>
        <w:jc w:val="left"/>
        <w:rPr>
          <w:sz w:val="24"/>
          <w:szCs w:val="24"/>
        </w:rPr>
      </w:pPr>
      <w:r>
        <w:rPr>
          <w:rFonts w:ascii="宋体" w:hAnsi="宋体" w:cs="宋体"/>
          <w:sz w:val="24"/>
          <w:szCs w:val="24"/>
        </w:rPr>
        <w:t>9</w:t>
      </w:r>
      <w:r>
        <w:rPr>
          <w:rFonts w:hint="eastAsia" w:ascii="宋体" w:hAnsi="宋体" w:cs="宋体"/>
          <w:sz w:val="24"/>
          <w:szCs w:val="24"/>
        </w:rPr>
        <w:t xml:space="preserve">.2.3  </w:t>
      </w:r>
      <w:r>
        <w:rPr>
          <w:rFonts w:hint="eastAsia"/>
          <w:sz w:val="24"/>
          <w:szCs w:val="24"/>
        </w:rPr>
        <w:t>在运用收取短期赎回费等措施后</w:t>
      </w:r>
      <w:r>
        <w:rPr>
          <w:rFonts w:hint="eastAsia" w:ascii="宋体" w:hAnsi="宋体" w:cs="宋体"/>
          <w:sz w:val="24"/>
          <w:szCs w:val="24"/>
        </w:rPr>
        <w:t>，</w:t>
      </w:r>
      <w:r>
        <w:rPr>
          <w:rFonts w:ascii="宋体" w:hAnsi="宋体" w:cs="宋体"/>
          <w:sz w:val="24"/>
          <w:szCs w:val="24"/>
        </w:rPr>
        <w:t>3</w:t>
      </w:r>
      <w:r>
        <w:rPr>
          <w:rFonts w:hint="eastAsia"/>
          <w:sz w:val="24"/>
          <w:szCs w:val="24"/>
        </w:rPr>
        <w:t>个交易日内告知该理财产品的相关投资者；</w:t>
      </w:r>
    </w:p>
    <w:p>
      <w:pPr>
        <w:widowControl/>
        <w:spacing w:line="360" w:lineRule="auto"/>
        <w:ind w:firstLine="480" w:firstLineChars="200"/>
        <w:jc w:val="left"/>
        <w:rPr>
          <w:sz w:val="24"/>
          <w:szCs w:val="24"/>
        </w:rPr>
      </w:pPr>
      <w:r>
        <w:rPr>
          <w:rFonts w:hint="eastAsia"/>
          <w:sz w:val="24"/>
          <w:szCs w:val="24"/>
        </w:rPr>
        <w:t>在运用暂停认购、延期办理巨额赎回申请、暂停接受赎回申请、延缓支付赎回款项、暂停理财产品估值等措施后，</w:t>
      </w:r>
      <w:r>
        <w:rPr>
          <w:rFonts w:ascii="宋体" w:hAnsi="宋体" w:cs="宋体"/>
          <w:sz w:val="24"/>
          <w:szCs w:val="24"/>
        </w:rPr>
        <w:t>3</w:t>
      </w:r>
      <w:r>
        <w:rPr>
          <w:rFonts w:hint="eastAsia"/>
          <w:sz w:val="24"/>
          <w:szCs w:val="24"/>
        </w:rPr>
        <w:t>个交易日内告知该理财产品的投资者，并说明运用相关措施的原因、拟采取的应对安排等。</w:t>
      </w:r>
    </w:p>
    <w:p>
      <w:pPr>
        <w:widowControl/>
        <w:spacing w:line="360" w:lineRule="auto"/>
        <w:ind w:firstLine="480" w:firstLineChars="200"/>
        <w:rPr>
          <w:rFonts w:ascii="宋体" w:hAnsi="宋体" w:cs="宋体"/>
          <w:sz w:val="24"/>
          <w:szCs w:val="24"/>
        </w:rPr>
      </w:pPr>
      <w:r>
        <w:rPr>
          <w:rFonts w:ascii="宋体" w:hAnsi="宋体" w:cs="宋体"/>
          <w:sz w:val="24"/>
          <w:szCs w:val="24"/>
        </w:rPr>
        <w:t>9</w:t>
      </w:r>
      <w:r>
        <w:rPr>
          <w:rFonts w:hint="eastAsia" w:ascii="宋体" w:hAnsi="宋体" w:cs="宋体"/>
          <w:sz w:val="24"/>
          <w:szCs w:val="24"/>
        </w:rPr>
        <w:t>.2.4  如产品管理人决定提前终止本理财产品，将于提前终止日的前3个工作日发布相关信息公告。</w:t>
      </w:r>
    </w:p>
    <w:p>
      <w:pPr>
        <w:widowControl/>
        <w:spacing w:line="360" w:lineRule="auto"/>
        <w:ind w:firstLine="480" w:firstLineChars="200"/>
        <w:rPr>
          <w:rFonts w:ascii="宋体" w:hAnsi="宋体" w:cs="宋体"/>
          <w:sz w:val="24"/>
          <w:szCs w:val="24"/>
        </w:rPr>
      </w:pPr>
      <w:r>
        <w:rPr>
          <w:rFonts w:ascii="宋体" w:hAnsi="宋体" w:cs="宋体"/>
          <w:sz w:val="24"/>
          <w:szCs w:val="24"/>
        </w:rPr>
        <w:t>9</w:t>
      </w:r>
      <w:r>
        <w:rPr>
          <w:rFonts w:hint="eastAsia" w:ascii="宋体" w:hAnsi="宋体" w:cs="宋体"/>
          <w:sz w:val="24"/>
          <w:szCs w:val="24"/>
        </w:rPr>
        <w:t>.2.5  产品管理人应当在每季度结束之日起15个工作日内，编制完成产品季度报告，向投资者披露产品存续规模、收益表现、投资组合、流动性风险分析等信息。</w:t>
      </w:r>
    </w:p>
    <w:p>
      <w:pPr>
        <w:widowControl/>
        <w:spacing w:line="360" w:lineRule="auto"/>
        <w:ind w:firstLine="480" w:firstLineChars="200"/>
        <w:rPr>
          <w:rFonts w:ascii="宋体" w:hAnsi="宋体" w:cs="宋体"/>
          <w:sz w:val="24"/>
          <w:szCs w:val="24"/>
        </w:rPr>
      </w:pPr>
      <w:r>
        <w:rPr>
          <w:rFonts w:ascii="宋体" w:hAnsi="宋体" w:cs="宋体"/>
          <w:sz w:val="24"/>
          <w:szCs w:val="24"/>
        </w:rPr>
        <w:t>9</w:t>
      </w:r>
      <w:r>
        <w:rPr>
          <w:rFonts w:hint="eastAsia" w:ascii="宋体" w:hAnsi="宋体" w:cs="宋体"/>
          <w:sz w:val="24"/>
          <w:szCs w:val="24"/>
        </w:rPr>
        <w:t>.2.6  产品管理人应当在上半年结束之日起60个工作日内，编制完成产品半年度报告，向投资者披露产品存续规模、收益表现、投资组合、流动性风险分析、前10大投资者等信息。</w:t>
      </w:r>
    </w:p>
    <w:p>
      <w:pPr>
        <w:widowControl/>
        <w:spacing w:line="360" w:lineRule="auto"/>
        <w:ind w:firstLine="480" w:firstLineChars="200"/>
        <w:rPr>
          <w:rFonts w:ascii="宋体" w:hAnsi="宋体" w:cs="宋体"/>
          <w:sz w:val="24"/>
          <w:szCs w:val="24"/>
        </w:rPr>
      </w:pPr>
      <w:r>
        <w:rPr>
          <w:rFonts w:ascii="宋体" w:hAnsi="宋体" w:cs="宋体"/>
          <w:sz w:val="24"/>
          <w:szCs w:val="24"/>
        </w:rPr>
        <w:t>9</w:t>
      </w:r>
      <w:r>
        <w:rPr>
          <w:rFonts w:hint="eastAsia" w:ascii="宋体" w:hAnsi="宋体" w:cs="宋体"/>
          <w:sz w:val="24"/>
          <w:szCs w:val="24"/>
        </w:rPr>
        <w:t>.2.7  产品管理人应当在每年结束之日起90个工作日内，编制完成产品年度报告，向投资者披露产品存续规模、收益表现、投资组合、流动性风险分析、前10大投资者等信息。</w:t>
      </w:r>
    </w:p>
    <w:p>
      <w:pPr>
        <w:widowControl/>
        <w:spacing w:line="360" w:lineRule="auto"/>
        <w:ind w:firstLine="480" w:firstLineChars="200"/>
        <w:rPr>
          <w:rFonts w:ascii="宋体" w:hAnsi="宋体" w:cs="宋体"/>
          <w:sz w:val="24"/>
          <w:szCs w:val="24"/>
        </w:rPr>
      </w:pPr>
      <w:r>
        <w:rPr>
          <w:rFonts w:ascii="宋体" w:hAnsi="宋体" w:cs="宋体"/>
          <w:sz w:val="24"/>
          <w:szCs w:val="24"/>
        </w:rPr>
        <w:t>9</w:t>
      </w:r>
      <w:r>
        <w:rPr>
          <w:rFonts w:hint="eastAsia" w:ascii="宋体" w:hAnsi="宋体" w:cs="宋体"/>
          <w:sz w:val="24"/>
          <w:szCs w:val="24"/>
        </w:rPr>
        <w:t>.2.8  如出现单一投资者持有产品份额达到或者超过该产品总份额20%的情形，应当在定期披露报告中披露该投资者的类别、持有份额及占比、持有份额变化情况及产品风险等信息，银保监会认定的特殊情形除外。</w:t>
      </w:r>
    </w:p>
    <w:p>
      <w:pPr>
        <w:widowControl/>
        <w:spacing w:line="360" w:lineRule="auto"/>
        <w:ind w:firstLine="480" w:firstLineChars="200"/>
        <w:rPr>
          <w:rFonts w:ascii="宋体" w:hAnsi="宋体" w:cs="宋体"/>
          <w:sz w:val="24"/>
          <w:szCs w:val="24"/>
        </w:rPr>
      </w:pPr>
      <w:r>
        <w:rPr>
          <w:rFonts w:ascii="宋体" w:hAnsi="宋体" w:cs="宋体"/>
          <w:sz w:val="24"/>
          <w:szCs w:val="24"/>
        </w:rPr>
        <w:t>9</w:t>
      </w:r>
      <w:r>
        <w:rPr>
          <w:rFonts w:hint="eastAsia" w:ascii="宋体" w:hAnsi="宋体" w:cs="宋体"/>
          <w:sz w:val="24"/>
          <w:szCs w:val="24"/>
        </w:rPr>
        <w:t>.2.9  本产品如投资于本行或托管机构，其主要股东、控股股东、实际控制人、一致行动人、最终受益人，其控股的机构或者与其有重大利害关系的公司发行或者承销的证券，或者从事其他重大关联交易的，应当向投资者充分披露信息。</w:t>
      </w:r>
    </w:p>
    <w:p>
      <w:pPr>
        <w:widowControl/>
        <w:spacing w:line="360" w:lineRule="auto"/>
        <w:ind w:firstLine="480" w:firstLineChars="200"/>
        <w:outlineLvl w:val="1"/>
        <w:rPr>
          <w:rFonts w:ascii="宋体" w:hAnsi="宋体" w:cs="宋体"/>
          <w:sz w:val="24"/>
          <w:szCs w:val="24"/>
        </w:rPr>
      </w:pPr>
      <w:r>
        <w:rPr>
          <w:rFonts w:ascii="宋体" w:hAnsi="宋体" w:cs="宋体"/>
          <w:sz w:val="24"/>
          <w:szCs w:val="24"/>
        </w:rPr>
        <w:t>9</w:t>
      </w:r>
      <w:r>
        <w:rPr>
          <w:rFonts w:hint="eastAsia" w:ascii="宋体" w:hAnsi="宋体" w:cs="宋体"/>
          <w:sz w:val="24"/>
          <w:szCs w:val="24"/>
        </w:rPr>
        <w:t>.3  产品重大信息披露</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本产品在发生可能对理财产品投资者或者理财产品收益产生重大影响的事件后，应当在2个工作日内发布重大事项公告。</w:t>
      </w:r>
    </w:p>
    <w:p>
      <w:pPr>
        <w:widowControl/>
        <w:spacing w:line="360" w:lineRule="auto"/>
        <w:ind w:firstLine="480" w:firstLineChars="200"/>
        <w:outlineLvl w:val="1"/>
        <w:rPr>
          <w:rFonts w:ascii="宋体" w:hAnsi="宋体" w:cs="宋体"/>
          <w:sz w:val="24"/>
          <w:szCs w:val="24"/>
        </w:rPr>
      </w:pPr>
      <w:r>
        <w:rPr>
          <w:rFonts w:ascii="宋体" w:hAnsi="宋体" w:cs="宋体"/>
          <w:sz w:val="24"/>
          <w:szCs w:val="24"/>
        </w:rPr>
        <w:t>9</w:t>
      </w:r>
      <w:r>
        <w:rPr>
          <w:rFonts w:hint="eastAsia" w:ascii="宋体" w:hAnsi="宋体" w:cs="宋体"/>
          <w:sz w:val="24"/>
          <w:szCs w:val="24"/>
        </w:rPr>
        <w:t>.4  产品临时信息披露</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本产品发生对理财产品投资者或者理财产品收益产生非重大影响的事件，应当及时发布临时信息公告。</w:t>
      </w:r>
    </w:p>
    <w:p>
      <w:pPr>
        <w:widowControl/>
        <w:spacing w:line="360" w:lineRule="auto"/>
        <w:ind w:firstLine="480" w:firstLineChars="200"/>
        <w:outlineLvl w:val="1"/>
        <w:rPr>
          <w:rFonts w:ascii="宋体" w:hAnsi="宋体" w:cs="宋体"/>
          <w:sz w:val="24"/>
          <w:szCs w:val="24"/>
        </w:rPr>
      </w:pPr>
      <w:r>
        <w:rPr>
          <w:rFonts w:ascii="宋体" w:hAnsi="宋体" w:cs="宋体"/>
          <w:sz w:val="24"/>
          <w:szCs w:val="24"/>
        </w:rPr>
        <w:t>9</w:t>
      </w:r>
      <w:r>
        <w:rPr>
          <w:rFonts w:hint="eastAsia" w:ascii="宋体" w:hAnsi="宋体" w:cs="宋体"/>
          <w:sz w:val="24"/>
          <w:szCs w:val="24"/>
        </w:rPr>
        <w:t>.5  信息披露文件的查阅</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请您登录贵州银行网站（</w:t>
      </w:r>
      <w:r>
        <w:rPr>
          <w:rFonts w:ascii="Helvetica" w:hAnsi="Helvetica" w:eastAsia="Helvetica"/>
          <w:bCs/>
        </w:rPr>
        <w:t>www.bgzchina.com</w:t>
      </w:r>
      <w:r>
        <w:rPr>
          <w:rFonts w:hint="eastAsia" w:ascii="宋体" w:hAnsi="宋体" w:cs="宋体"/>
          <w:sz w:val="24"/>
          <w:szCs w:val="24"/>
        </w:rPr>
        <w:t>），在</w:t>
      </w:r>
      <w:r>
        <w:rPr>
          <w:rFonts w:hint="eastAsia" w:ascii="宋体" w:hAnsi="宋体" w:cs="宋体"/>
          <w:kern w:val="0"/>
          <w:sz w:val="24"/>
          <w:szCs w:val="24"/>
        </w:rPr>
        <w:t>理财信息披露</w:t>
      </w:r>
      <w:r>
        <w:rPr>
          <w:rFonts w:hint="eastAsia" w:ascii="宋体" w:hAnsi="宋体" w:cs="宋体"/>
          <w:sz w:val="24"/>
          <w:szCs w:val="24"/>
        </w:rPr>
        <w:t>板块中查询理财产品相关信息。贵州银行网站公布的信息，敬请您及时查看。</w:t>
      </w:r>
    </w:p>
    <w:p>
      <w:pPr>
        <w:spacing w:line="360" w:lineRule="auto"/>
        <w:ind w:firstLine="480" w:firstLineChars="200"/>
        <w:rPr>
          <w:rFonts w:asciiTheme="minorEastAsia" w:hAnsiTheme="minorEastAsia" w:eastAsiaTheme="minorEastAsia" w:cstheme="minorEastAsia"/>
          <w:b/>
          <w:sz w:val="24"/>
          <w:szCs w:val="24"/>
        </w:rPr>
      </w:pPr>
      <w:r>
        <w:rPr>
          <w:rStyle w:val="14"/>
          <w:rFonts w:hint="eastAsia" w:asciiTheme="minorEastAsia" w:hAnsiTheme="minorEastAsia" w:eastAsiaTheme="minorEastAsia" w:cstheme="minorEastAsia"/>
          <w:b w:val="0"/>
          <w:bCs w:val="0"/>
          <w:sz w:val="24"/>
          <w:szCs w:val="24"/>
        </w:rPr>
        <w:t>温馨提示：如您因未能及时查看了解相关理财产品信息，从而影响您的投资决策，需要您承担由此产生的风险。</w:t>
      </w:r>
    </w:p>
    <w:p>
      <w:pPr>
        <w:widowControl/>
        <w:spacing w:line="360" w:lineRule="auto"/>
        <w:ind w:firstLine="482" w:firstLineChars="200"/>
        <w:outlineLvl w:val="0"/>
        <w:rPr>
          <w:rStyle w:val="14"/>
          <w:rFonts w:ascii="黑体" w:hAnsi="黑体" w:eastAsia="黑体" w:cs="黑体"/>
          <w:sz w:val="24"/>
          <w:szCs w:val="24"/>
        </w:rPr>
      </w:pPr>
      <w:r>
        <w:rPr>
          <w:rStyle w:val="14"/>
          <w:rFonts w:hint="eastAsia" w:ascii="黑体" w:hAnsi="黑体" w:eastAsia="黑体" w:cs="黑体"/>
          <w:sz w:val="24"/>
          <w:szCs w:val="24"/>
        </w:rPr>
        <w:t>第十条  保密义务</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贵州银行对本理财产品的交易及投资者信息负有保密义务。除按照法律法规和监管规定正常报送投资者信息以外，未经投资人书面认可，贵州银行将不得向任何组织、个人提供或泄漏与本理财产品及投资者个人有关的信息。</w:t>
      </w:r>
    </w:p>
    <w:p>
      <w:pPr>
        <w:widowControl/>
        <w:spacing w:line="360" w:lineRule="auto"/>
        <w:ind w:firstLine="482" w:firstLineChars="200"/>
        <w:outlineLvl w:val="0"/>
        <w:rPr>
          <w:rStyle w:val="14"/>
          <w:rFonts w:ascii="黑体" w:hAnsi="黑体" w:eastAsia="黑体" w:cs="黑体"/>
        </w:rPr>
      </w:pPr>
      <w:r>
        <w:rPr>
          <w:rStyle w:val="14"/>
          <w:rFonts w:hint="eastAsia" w:ascii="黑体" w:hAnsi="黑体" w:eastAsia="黑体" w:cs="黑体"/>
          <w:sz w:val="24"/>
          <w:szCs w:val="28"/>
        </w:rPr>
        <w:t>第十一条</w:t>
      </w:r>
      <w:r>
        <w:rPr>
          <w:rStyle w:val="14"/>
          <w:rFonts w:ascii="黑体" w:hAnsi="黑体" w:eastAsia="黑体" w:cs="黑体"/>
          <w:sz w:val="24"/>
          <w:szCs w:val="28"/>
        </w:rPr>
        <w:t xml:space="preserve"> </w:t>
      </w:r>
      <w:r>
        <w:rPr>
          <w:rStyle w:val="14"/>
          <w:rFonts w:ascii="黑体" w:hAnsi="黑体" w:eastAsia="黑体" w:cs="黑体"/>
          <w:sz w:val="24"/>
          <w:szCs w:val="24"/>
        </w:rPr>
        <w:t xml:space="preserve"> </w:t>
      </w:r>
      <w:r>
        <w:rPr>
          <w:rStyle w:val="14"/>
          <w:rFonts w:hint="eastAsia" w:ascii="黑体" w:hAnsi="黑体" w:eastAsia="黑体" w:cs="黑体"/>
          <w:sz w:val="24"/>
          <w:szCs w:val="24"/>
        </w:rPr>
        <w:t>适用法律及争议解决</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本理财产品信息说明书、风险揭示书、客户权益须知及理财产品协议书适用中华人民共和国大陆地区的法律，其项下及与之有关的一切争议，各方应首先友好协商解决。协商未达成一致的，任何一方可向产品管理人住所地</w:t>
      </w:r>
      <w:r>
        <w:rPr>
          <w:rFonts w:hint="eastAsia" w:ascii="宋体" w:hAnsi="宋体" w:cs="宋体"/>
          <w:sz w:val="24"/>
          <w:szCs w:val="24"/>
          <w:lang w:eastAsia="zh-Hans"/>
        </w:rPr>
        <w:t>有管辖权的</w:t>
      </w:r>
      <w:r>
        <w:rPr>
          <w:rFonts w:hint="eastAsia" w:ascii="宋体" w:hAnsi="宋体" w:cs="宋体"/>
          <w:sz w:val="24"/>
          <w:szCs w:val="24"/>
        </w:rPr>
        <w:t>人民法院提起诉讼解决。</w:t>
      </w:r>
    </w:p>
    <w:p>
      <w:pPr>
        <w:spacing w:line="360" w:lineRule="auto"/>
        <w:ind w:firstLine="480" w:firstLineChars="200"/>
        <w:rPr>
          <w:rFonts w:ascii="宋体" w:hAnsi="宋体" w:cs="宋体"/>
          <w:sz w:val="24"/>
          <w:szCs w:val="24"/>
        </w:rPr>
      </w:pPr>
    </w:p>
    <w:p>
      <w:pPr>
        <w:spacing w:line="360" w:lineRule="auto"/>
        <w:rPr>
          <w:rFonts w:ascii="宋体" w:hAnsi="宋体"/>
          <w:sz w:val="18"/>
          <w:szCs w:val="18"/>
        </w:rPr>
      </w:pPr>
      <w:r>
        <w:rPr>
          <w:rFonts w:ascii="宋体" w:hAnsi="宋体"/>
          <w:sz w:val="18"/>
          <w:szCs w:val="18"/>
        </w:rPr>
        <w:br w:type="page"/>
      </w:r>
    </w:p>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p>
      <w:pPr>
        <w:spacing w:line="360" w:lineRule="auto"/>
        <w:jc w:val="center"/>
        <w:outlineLvl w:val="0"/>
        <w:rPr>
          <w:rStyle w:val="14"/>
          <w:rFonts w:ascii="黑体" w:hAnsi="黑体" w:eastAsia="黑体" w:cs="宋体"/>
          <w:bCs w:val="0"/>
          <w:sz w:val="24"/>
          <w:szCs w:val="24"/>
        </w:rPr>
      </w:pPr>
      <w:r>
        <w:rPr>
          <w:rFonts w:hint="eastAsia" w:ascii="黑体" w:hAnsi="黑体" w:eastAsia="黑体" w:cs="宋体"/>
          <w:b/>
          <w:sz w:val="24"/>
          <w:szCs w:val="24"/>
        </w:rPr>
        <w:t>（投资者确认页）</w:t>
      </w:r>
    </w:p>
    <w:p>
      <w:pPr>
        <w:spacing w:line="360" w:lineRule="auto"/>
        <w:ind w:firstLine="472" w:firstLineChars="196"/>
        <w:jc w:val="left"/>
        <w:rPr>
          <w:rFonts w:ascii="宋体" w:hAnsi="宋体"/>
          <w:b/>
          <w:sz w:val="24"/>
          <w:szCs w:val="24"/>
        </w:rPr>
      </w:pPr>
      <w:r>
        <w:rPr>
          <w:rFonts w:hint="eastAsia" w:ascii="黑体" w:hAnsi="黑体" w:eastAsia="黑体" w:cs="宋体"/>
          <w:b/>
          <w:sz w:val="24"/>
          <w:szCs w:val="24"/>
        </w:rPr>
        <w:t>个人投资者确认：本人已经阅读本产品信息说明书，对说明书条款无异议,并充分了解本理财产品的风险，自愿购买。</w:t>
      </w:r>
    </w:p>
    <w:p>
      <w:pPr>
        <w:spacing w:line="360" w:lineRule="auto"/>
        <w:ind w:firstLine="360" w:firstLineChars="200"/>
        <w:jc w:val="left"/>
        <w:rPr>
          <w:rFonts w:ascii="宋体" w:hAnsi="宋体"/>
          <w:sz w:val="18"/>
          <w:szCs w:val="18"/>
        </w:rPr>
      </w:pPr>
    </w:p>
    <w:p>
      <w:pPr>
        <w:spacing w:line="360" w:lineRule="auto"/>
        <w:ind w:firstLine="480" w:firstLineChars="200"/>
        <w:jc w:val="left"/>
        <w:rPr>
          <w:rFonts w:ascii="宋体" w:hAnsi="宋体"/>
          <w:sz w:val="24"/>
          <w:szCs w:val="24"/>
        </w:rPr>
      </w:pPr>
      <w:r>
        <w:rPr>
          <w:rFonts w:hint="eastAsia" w:ascii="宋体" w:hAnsi="宋体"/>
          <w:sz w:val="24"/>
          <w:szCs w:val="24"/>
        </w:rPr>
        <w:t>个人投资者（签字）：</w:t>
      </w:r>
    </w:p>
    <w:p>
      <w:pPr>
        <w:tabs>
          <w:tab w:val="left" w:pos="6090"/>
          <w:tab w:val="left" w:pos="6300"/>
          <w:tab w:val="left" w:pos="6510"/>
        </w:tabs>
        <w:spacing w:line="360" w:lineRule="auto"/>
        <w:jc w:val="center"/>
        <w:outlineLvl w:val="0"/>
        <w:rPr>
          <w:rFonts w:ascii="宋体" w:hAnsi="宋体" w:cs="宋体"/>
          <w:sz w:val="24"/>
          <w:szCs w:val="24"/>
        </w:rPr>
      </w:pPr>
      <w:r>
        <w:rPr>
          <w:rFonts w:hint="eastAsia" w:ascii="宋体" w:hAnsi="宋体" w:cs="宋体"/>
          <w:sz w:val="24"/>
          <w:szCs w:val="24"/>
        </w:rPr>
        <w:t xml:space="preserve">                                              年  月  日</w:t>
      </w:r>
    </w:p>
    <w:p>
      <w:pPr>
        <w:spacing w:line="360" w:lineRule="auto"/>
        <w:jc w:val="left"/>
        <w:rPr>
          <w:rFonts w:ascii="黑体" w:hAnsi="黑体" w:eastAsia="黑体" w:cs="黑体"/>
          <w:b/>
          <w:sz w:val="24"/>
          <w:szCs w:val="24"/>
        </w:rPr>
      </w:pPr>
      <w:r>
        <w:rPr>
          <w:rFonts w:hint="eastAsia" w:ascii="黑体" w:hAnsi="黑体" w:eastAsia="黑体" w:cs="黑体"/>
          <w:b/>
          <w:sz w:val="24"/>
          <w:szCs w:val="24"/>
        </w:rPr>
        <w:t xml:space="preserve">    机构投资者确认：本单位已经阅读本产品信息说明书，对说明书条款无异议</w:t>
      </w:r>
      <w:r>
        <w:rPr>
          <w:rFonts w:hint="eastAsia" w:ascii="黑体" w:hAnsi="黑体" w:eastAsia="黑体" w:cs="宋体"/>
          <w:b/>
          <w:sz w:val="24"/>
          <w:szCs w:val="24"/>
        </w:rPr>
        <w:t>,并充分了解本理财产品的风险，自愿购买</w:t>
      </w:r>
      <w:r>
        <w:rPr>
          <w:rFonts w:hint="eastAsia" w:ascii="黑体" w:hAnsi="黑体" w:eastAsia="黑体" w:cs="黑体"/>
          <w:b/>
          <w:sz w:val="24"/>
          <w:szCs w:val="24"/>
        </w:rPr>
        <w:t>。</w:t>
      </w:r>
    </w:p>
    <w:p>
      <w:pPr>
        <w:spacing w:line="360" w:lineRule="auto"/>
        <w:ind w:firstLine="354" w:firstLineChars="196"/>
        <w:jc w:val="left"/>
        <w:rPr>
          <w:rFonts w:ascii="黑体" w:hAnsi="黑体" w:eastAsia="黑体" w:cs="宋体"/>
          <w:b/>
          <w:sz w:val="18"/>
          <w:szCs w:val="18"/>
        </w:rPr>
      </w:pPr>
    </w:p>
    <w:p>
      <w:pPr>
        <w:spacing w:line="360" w:lineRule="auto"/>
        <w:ind w:firstLine="480" w:firstLineChars="200"/>
        <w:jc w:val="left"/>
        <w:rPr>
          <w:rFonts w:ascii="宋体" w:hAnsi="宋体"/>
          <w:sz w:val="24"/>
          <w:szCs w:val="24"/>
        </w:rPr>
      </w:pPr>
      <w:r>
        <w:rPr>
          <w:rFonts w:hint="eastAsia" w:ascii="宋体" w:hAnsi="宋体"/>
          <w:sz w:val="24"/>
          <w:szCs w:val="24"/>
        </w:rPr>
        <w:t>机构投资者（盖章）：</w:t>
      </w:r>
    </w:p>
    <w:p>
      <w:pPr>
        <w:spacing w:line="360" w:lineRule="auto"/>
        <w:jc w:val="left"/>
        <w:rPr>
          <w:rFonts w:ascii="宋体" w:hAnsi="宋体"/>
          <w:sz w:val="24"/>
          <w:szCs w:val="24"/>
        </w:rPr>
      </w:pPr>
    </w:p>
    <w:p>
      <w:pPr>
        <w:spacing w:line="360" w:lineRule="auto"/>
        <w:jc w:val="left"/>
        <w:rPr>
          <w:rFonts w:ascii="宋体" w:hAnsi="宋体"/>
          <w:sz w:val="24"/>
          <w:szCs w:val="24"/>
        </w:rPr>
      </w:pPr>
      <w:r>
        <w:rPr>
          <w:rFonts w:hint="eastAsia" w:ascii="宋体" w:hAnsi="宋体"/>
          <w:sz w:val="24"/>
          <w:szCs w:val="24"/>
        </w:rPr>
        <w:t xml:space="preserve">    法定代表人/负责人：</w:t>
      </w:r>
    </w:p>
    <w:p>
      <w:pPr>
        <w:tabs>
          <w:tab w:val="left" w:pos="6300"/>
        </w:tabs>
        <w:spacing w:line="360" w:lineRule="auto"/>
        <w:jc w:val="left"/>
        <w:rPr>
          <w:rFonts w:ascii="宋体" w:hAnsi="宋体"/>
          <w:sz w:val="18"/>
          <w:szCs w:val="18"/>
          <w:u w:val="single"/>
        </w:rPr>
      </w:pPr>
      <w:r>
        <w:rPr>
          <w:rFonts w:hint="eastAsia" w:ascii="宋体" w:hAnsi="宋体"/>
          <w:sz w:val="24"/>
          <w:szCs w:val="24"/>
        </w:rPr>
        <w:t xml:space="preserve">    或授权代理人：</w:t>
      </w:r>
    </w:p>
    <w:p>
      <w:pPr>
        <w:tabs>
          <w:tab w:val="left" w:pos="6090"/>
          <w:tab w:val="left" w:pos="6300"/>
          <w:tab w:val="left" w:pos="6510"/>
        </w:tabs>
        <w:spacing w:line="360" w:lineRule="auto"/>
        <w:jc w:val="center"/>
        <w:outlineLvl w:val="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年  月  日</w:t>
      </w:r>
    </w:p>
    <w:p>
      <w:pPr>
        <w:spacing w:line="360" w:lineRule="auto"/>
        <w:rPr>
          <w:rStyle w:val="14"/>
          <w:rFonts w:ascii="宋体" w:hAnsi="宋体"/>
          <w:sz w:val="18"/>
          <w:szCs w:val="18"/>
        </w:rPr>
      </w:pPr>
    </w:p>
    <w:sectPr>
      <w:footerReference r:id="rId3" w:type="default"/>
      <w:pgSz w:w="11906" w:h="16838"/>
      <w:pgMar w:top="1134" w:right="1701"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489750"/>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C4FE0"/>
    <w:multiLevelType w:val="singleLevel"/>
    <w:tmpl w:val="9AEC4FE0"/>
    <w:lvl w:ilvl="0" w:tentative="0">
      <w:start w:val="1"/>
      <w:numFmt w:val="chineseCounting"/>
      <w:suff w:val="space"/>
      <w:lvlText w:val="第%1条"/>
      <w:lvlJc w:val="left"/>
      <w:rPr>
        <w:rFonts w:hint="eastAsia" w:ascii="黑体" w:hAnsi="黑体" w:eastAsia="黑体"/>
        <w:b/>
        <w:bCs/>
      </w:rPr>
    </w:lvl>
  </w:abstractNum>
  <w:abstractNum w:abstractNumId="1">
    <w:nsid w:val="E61DC15A"/>
    <w:multiLevelType w:val="singleLevel"/>
    <w:tmpl w:val="E61DC15A"/>
    <w:lvl w:ilvl="0" w:tentative="0">
      <w:start w:val="1"/>
      <w:numFmt w:val="decimal"/>
      <w:suff w:val="space"/>
      <w:lvlText w:val="%1."/>
      <w:lvlJc w:val="left"/>
    </w:lvl>
  </w:abstractNum>
  <w:abstractNum w:abstractNumId="2">
    <w:nsid w:val="F19D0D76"/>
    <w:multiLevelType w:val="singleLevel"/>
    <w:tmpl w:val="F19D0D76"/>
    <w:lvl w:ilvl="0" w:tentative="0">
      <w:start w:val="1"/>
      <w:numFmt w:val="decimal"/>
      <w:suff w:val="space"/>
      <w:lvlText w:val="%1."/>
      <w:lvlJc w:val="left"/>
    </w:lvl>
  </w:abstractNum>
  <w:abstractNum w:abstractNumId="3">
    <w:nsid w:val="034F2274"/>
    <w:multiLevelType w:val="singleLevel"/>
    <w:tmpl w:val="034F2274"/>
    <w:lvl w:ilvl="0" w:tentative="0">
      <w:start w:val="1"/>
      <w:numFmt w:val="decimal"/>
      <w:suff w:val="space"/>
      <w:lvlText w:val="%1."/>
      <w:lvlJc w:val="left"/>
    </w:lvl>
  </w:abstractNum>
  <w:abstractNum w:abstractNumId="4">
    <w:nsid w:val="09BD54E0"/>
    <w:multiLevelType w:val="singleLevel"/>
    <w:tmpl w:val="09BD54E0"/>
    <w:lvl w:ilvl="0" w:tentative="0">
      <w:start w:val="1"/>
      <w:numFmt w:val="decimal"/>
      <w:suff w:val="space"/>
      <w:lvlText w:val="%1."/>
      <w:lvlJc w:val="left"/>
    </w:lvl>
  </w:abstractNum>
  <w:abstractNum w:abstractNumId="5">
    <w:nsid w:val="0AD96A63"/>
    <w:multiLevelType w:val="singleLevel"/>
    <w:tmpl w:val="0AD96A63"/>
    <w:lvl w:ilvl="0" w:tentative="0">
      <w:start w:val="1"/>
      <w:numFmt w:val="decimal"/>
      <w:suff w:val="space"/>
      <w:lvlText w:val="%1."/>
      <w:lvlJc w:val="left"/>
    </w:lvl>
  </w:abstractNum>
  <w:abstractNum w:abstractNumId="6">
    <w:nsid w:val="2333198B"/>
    <w:multiLevelType w:val="singleLevel"/>
    <w:tmpl w:val="2333198B"/>
    <w:lvl w:ilvl="0" w:tentative="0">
      <w:start w:val="1"/>
      <w:numFmt w:val="decimal"/>
      <w:suff w:val="space"/>
      <w:lvlText w:val="%1."/>
      <w:lvlJc w:val="left"/>
    </w:lvl>
  </w:abstractNum>
  <w:abstractNum w:abstractNumId="7">
    <w:nsid w:val="23C241DF"/>
    <w:multiLevelType w:val="singleLevel"/>
    <w:tmpl w:val="23C241DF"/>
    <w:lvl w:ilvl="0" w:tentative="0">
      <w:start w:val="1"/>
      <w:numFmt w:val="decimal"/>
      <w:suff w:val="space"/>
      <w:lvlText w:val="%1."/>
      <w:lvlJc w:val="left"/>
    </w:lvl>
  </w:abstractNum>
  <w:abstractNum w:abstractNumId="8">
    <w:nsid w:val="418A7D3D"/>
    <w:multiLevelType w:val="singleLevel"/>
    <w:tmpl w:val="418A7D3D"/>
    <w:lvl w:ilvl="0" w:tentative="0">
      <w:start w:val="1"/>
      <w:numFmt w:val="decimal"/>
      <w:suff w:val="space"/>
      <w:lvlText w:val="%1."/>
      <w:lvlJc w:val="left"/>
    </w:lvl>
  </w:abstractNum>
  <w:abstractNum w:abstractNumId="9">
    <w:nsid w:val="48F2B646"/>
    <w:multiLevelType w:val="singleLevel"/>
    <w:tmpl w:val="48F2B646"/>
    <w:lvl w:ilvl="0" w:tentative="0">
      <w:start w:val="1"/>
      <w:numFmt w:val="decimal"/>
      <w:suff w:val="space"/>
      <w:lvlText w:val="%1."/>
      <w:lvlJc w:val="left"/>
    </w:lvl>
  </w:abstractNum>
  <w:abstractNum w:abstractNumId="10">
    <w:nsid w:val="4BF6BD72"/>
    <w:multiLevelType w:val="singleLevel"/>
    <w:tmpl w:val="4BF6BD72"/>
    <w:lvl w:ilvl="0" w:tentative="0">
      <w:start w:val="1"/>
      <w:numFmt w:val="decimal"/>
      <w:suff w:val="space"/>
      <w:lvlText w:val="%1."/>
      <w:lvlJc w:val="left"/>
    </w:lvl>
  </w:abstractNum>
  <w:abstractNum w:abstractNumId="11">
    <w:nsid w:val="4E5E238C"/>
    <w:multiLevelType w:val="singleLevel"/>
    <w:tmpl w:val="4E5E238C"/>
    <w:lvl w:ilvl="0" w:tentative="0">
      <w:start w:val="1"/>
      <w:numFmt w:val="decimal"/>
      <w:suff w:val="space"/>
      <w:lvlText w:val="%1."/>
      <w:lvlJc w:val="left"/>
    </w:lvl>
  </w:abstractNum>
  <w:abstractNum w:abstractNumId="12">
    <w:nsid w:val="5513727D"/>
    <w:multiLevelType w:val="singleLevel"/>
    <w:tmpl w:val="5513727D"/>
    <w:lvl w:ilvl="0" w:tentative="0">
      <w:start w:val="1"/>
      <w:numFmt w:val="decimal"/>
      <w:suff w:val="space"/>
      <w:lvlText w:val="%1."/>
      <w:lvlJc w:val="left"/>
    </w:lvl>
  </w:abstractNum>
  <w:abstractNum w:abstractNumId="13">
    <w:nsid w:val="62C35759"/>
    <w:multiLevelType w:val="singleLevel"/>
    <w:tmpl w:val="62C35759"/>
    <w:lvl w:ilvl="0" w:tentative="0">
      <w:start w:val="1"/>
      <w:numFmt w:val="decimal"/>
      <w:suff w:val="space"/>
      <w:lvlText w:val="%1."/>
      <w:lvlJc w:val="left"/>
    </w:lvl>
  </w:abstractNum>
  <w:abstractNum w:abstractNumId="14">
    <w:nsid w:val="6892705E"/>
    <w:multiLevelType w:val="singleLevel"/>
    <w:tmpl w:val="6892705E"/>
    <w:lvl w:ilvl="0" w:tentative="0">
      <w:start w:val="1"/>
      <w:numFmt w:val="decimal"/>
      <w:suff w:val="space"/>
      <w:lvlText w:val="%1."/>
      <w:lvlJc w:val="left"/>
    </w:lvl>
  </w:abstractNum>
  <w:num w:numId="1">
    <w:abstractNumId w:val="0"/>
  </w:num>
  <w:num w:numId="2">
    <w:abstractNumId w:val="1"/>
  </w:num>
  <w:num w:numId="3">
    <w:abstractNumId w:val="13"/>
  </w:num>
  <w:num w:numId="4">
    <w:abstractNumId w:val="9"/>
  </w:num>
  <w:num w:numId="5">
    <w:abstractNumId w:val="2"/>
  </w:num>
  <w:num w:numId="6">
    <w:abstractNumId w:val="10"/>
  </w:num>
  <w:num w:numId="7">
    <w:abstractNumId w:val="6"/>
  </w:num>
  <w:num w:numId="8">
    <w:abstractNumId w:val="11"/>
  </w:num>
  <w:num w:numId="9">
    <w:abstractNumId w:val="3"/>
  </w:num>
  <w:num w:numId="10">
    <w:abstractNumId w:val="8"/>
  </w:num>
  <w:num w:numId="11">
    <w:abstractNumId w:val="4"/>
  </w:num>
  <w:num w:numId="12">
    <w:abstractNumId w:val="14"/>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D5"/>
    <w:rsid w:val="000031A1"/>
    <w:rsid w:val="0000459B"/>
    <w:rsid w:val="0002754E"/>
    <w:rsid w:val="00053864"/>
    <w:rsid w:val="00061D8F"/>
    <w:rsid w:val="00070993"/>
    <w:rsid w:val="00096C7C"/>
    <w:rsid w:val="000E1F30"/>
    <w:rsid w:val="001012C5"/>
    <w:rsid w:val="00107034"/>
    <w:rsid w:val="001076E7"/>
    <w:rsid w:val="00116EE8"/>
    <w:rsid w:val="0012550C"/>
    <w:rsid w:val="001353D8"/>
    <w:rsid w:val="00151424"/>
    <w:rsid w:val="00155120"/>
    <w:rsid w:val="00167622"/>
    <w:rsid w:val="0017026A"/>
    <w:rsid w:val="001816D2"/>
    <w:rsid w:val="00192CAB"/>
    <w:rsid w:val="001A270B"/>
    <w:rsid w:val="001A3123"/>
    <w:rsid w:val="001E6346"/>
    <w:rsid w:val="00206476"/>
    <w:rsid w:val="00212CEA"/>
    <w:rsid w:val="002433CC"/>
    <w:rsid w:val="00285EE0"/>
    <w:rsid w:val="00286F11"/>
    <w:rsid w:val="002878E8"/>
    <w:rsid w:val="002932F9"/>
    <w:rsid w:val="00294065"/>
    <w:rsid w:val="002C28CB"/>
    <w:rsid w:val="002D398A"/>
    <w:rsid w:val="002E5A42"/>
    <w:rsid w:val="002E7F34"/>
    <w:rsid w:val="002F1F8E"/>
    <w:rsid w:val="003238A2"/>
    <w:rsid w:val="00334845"/>
    <w:rsid w:val="003419C3"/>
    <w:rsid w:val="00346B6A"/>
    <w:rsid w:val="00371E82"/>
    <w:rsid w:val="003855E9"/>
    <w:rsid w:val="0038777C"/>
    <w:rsid w:val="00396B0B"/>
    <w:rsid w:val="003B7377"/>
    <w:rsid w:val="003D58F8"/>
    <w:rsid w:val="00412B97"/>
    <w:rsid w:val="00412F81"/>
    <w:rsid w:val="0045245C"/>
    <w:rsid w:val="00453592"/>
    <w:rsid w:val="00477B69"/>
    <w:rsid w:val="004A6F7A"/>
    <w:rsid w:val="004B0A11"/>
    <w:rsid w:val="004C1073"/>
    <w:rsid w:val="004C31E9"/>
    <w:rsid w:val="004E43FD"/>
    <w:rsid w:val="004F591F"/>
    <w:rsid w:val="00502080"/>
    <w:rsid w:val="005452EF"/>
    <w:rsid w:val="00592045"/>
    <w:rsid w:val="00592358"/>
    <w:rsid w:val="005A586B"/>
    <w:rsid w:val="005B7D2F"/>
    <w:rsid w:val="005F1ED3"/>
    <w:rsid w:val="00614C14"/>
    <w:rsid w:val="0062239F"/>
    <w:rsid w:val="00640B3E"/>
    <w:rsid w:val="00646B26"/>
    <w:rsid w:val="006A5793"/>
    <w:rsid w:val="006A7469"/>
    <w:rsid w:val="006B49E6"/>
    <w:rsid w:val="006D4C78"/>
    <w:rsid w:val="006E4DDD"/>
    <w:rsid w:val="006E51BC"/>
    <w:rsid w:val="006E60BD"/>
    <w:rsid w:val="006E6B6D"/>
    <w:rsid w:val="006E722E"/>
    <w:rsid w:val="006E7364"/>
    <w:rsid w:val="00727EFE"/>
    <w:rsid w:val="007304F8"/>
    <w:rsid w:val="00734EBE"/>
    <w:rsid w:val="00773354"/>
    <w:rsid w:val="00784A02"/>
    <w:rsid w:val="007923E7"/>
    <w:rsid w:val="007D5EB3"/>
    <w:rsid w:val="007E1EFD"/>
    <w:rsid w:val="007F4A49"/>
    <w:rsid w:val="007F623C"/>
    <w:rsid w:val="00802CC0"/>
    <w:rsid w:val="008144EA"/>
    <w:rsid w:val="00817CBB"/>
    <w:rsid w:val="008207D3"/>
    <w:rsid w:val="008465E8"/>
    <w:rsid w:val="008577C5"/>
    <w:rsid w:val="0086230C"/>
    <w:rsid w:val="0086291C"/>
    <w:rsid w:val="00864B11"/>
    <w:rsid w:val="00890DD9"/>
    <w:rsid w:val="008C7330"/>
    <w:rsid w:val="00905A26"/>
    <w:rsid w:val="0092259B"/>
    <w:rsid w:val="009469CB"/>
    <w:rsid w:val="0095056F"/>
    <w:rsid w:val="009759F0"/>
    <w:rsid w:val="009B54BB"/>
    <w:rsid w:val="009C0C3D"/>
    <w:rsid w:val="009C13D1"/>
    <w:rsid w:val="009C5166"/>
    <w:rsid w:val="009C72CC"/>
    <w:rsid w:val="009E1E21"/>
    <w:rsid w:val="009E63CD"/>
    <w:rsid w:val="00A0656C"/>
    <w:rsid w:val="00A25668"/>
    <w:rsid w:val="00A36F56"/>
    <w:rsid w:val="00A5443C"/>
    <w:rsid w:val="00A54BDB"/>
    <w:rsid w:val="00A816D0"/>
    <w:rsid w:val="00A83EAF"/>
    <w:rsid w:val="00A92469"/>
    <w:rsid w:val="00AA3D84"/>
    <w:rsid w:val="00AF2792"/>
    <w:rsid w:val="00B006BF"/>
    <w:rsid w:val="00B1035E"/>
    <w:rsid w:val="00B12C20"/>
    <w:rsid w:val="00B32B05"/>
    <w:rsid w:val="00B3505F"/>
    <w:rsid w:val="00B37B0C"/>
    <w:rsid w:val="00B400AF"/>
    <w:rsid w:val="00B45EF4"/>
    <w:rsid w:val="00B47CCE"/>
    <w:rsid w:val="00B75CAB"/>
    <w:rsid w:val="00BD0F0F"/>
    <w:rsid w:val="00BD2FC4"/>
    <w:rsid w:val="00BD7764"/>
    <w:rsid w:val="00BE6EE0"/>
    <w:rsid w:val="00BE76FB"/>
    <w:rsid w:val="00C07AAA"/>
    <w:rsid w:val="00C462F5"/>
    <w:rsid w:val="00C472B5"/>
    <w:rsid w:val="00C73209"/>
    <w:rsid w:val="00C8179B"/>
    <w:rsid w:val="00C91729"/>
    <w:rsid w:val="00C95D7A"/>
    <w:rsid w:val="00CA7BBF"/>
    <w:rsid w:val="00CB4052"/>
    <w:rsid w:val="00CB5CE5"/>
    <w:rsid w:val="00CC1B6A"/>
    <w:rsid w:val="00CC5CB4"/>
    <w:rsid w:val="00CE23A3"/>
    <w:rsid w:val="00CE39D2"/>
    <w:rsid w:val="00CE5D69"/>
    <w:rsid w:val="00CF02D5"/>
    <w:rsid w:val="00D111A4"/>
    <w:rsid w:val="00D31805"/>
    <w:rsid w:val="00D36458"/>
    <w:rsid w:val="00D43471"/>
    <w:rsid w:val="00D5444F"/>
    <w:rsid w:val="00D57ED1"/>
    <w:rsid w:val="00D84604"/>
    <w:rsid w:val="00DB05EF"/>
    <w:rsid w:val="00DB2CD0"/>
    <w:rsid w:val="00DC0737"/>
    <w:rsid w:val="00DE5798"/>
    <w:rsid w:val="00DF1305"/>
    <w:rsid w:val="00E004AE"/>
    <w:rsid w:val="00E025B9"/>
    <w:rsid w:val="00E228F8"/>
    <w:rsid w:val="00E46D67"/>
    <w:rsid w:val="00E83689"/>
    <w:rsid w:val="00E90B65"/>
    <w:rsid w:val="00EA3737"/>
    <w:rsid w:val="00F11F43"/>
    <w:rsid w:val="00F76126"/>
    <w:rsid w:val="00F9768D"/>
    <w:rsid w:val="00F97D42"/>
    <w:rsid w:val="00FD3C6D"/>
    <w:rsid w:val="00FE54FC"/>
    <w:rsid w:val="021B6044"/>
    <w:rsid w:val="03031755"/>
    <w:rsid w:val="034F4EDD"/>
    <w:rsid w:val="036D25CC"/>
    <w:rsid w:val="044011B5"/>
    <w:rsid w:val="05C26456"/>
    <w:rsid w:val="060200E1"/>
    <w:rsid w:val="073169B7"/>
    <w:rsid w:val="07756ACE"/>
    <w:rsid w:val="07A97D2A"/>
    <w:rsid w:val="083B3773"/>
    <w:rsid w:val="084C0376"/>
    <w:rsid w:val="08682F18"/>
    <w:rsid w:val="08AB7F58"/>
    <w:rsid w:val="096920BE"/>
    <w:rsid w:val="098701E8"/>
    <w:rsid w:val="0A317366"/>
    <w:rsid w:val="0AA63F8A"/>
    <w:rsid w:val="0B3739AD"/>
    <w:rsid w:val="0B643920"/>
    <w:rsid w:val="0B774BFE"/>
    <w:rsid w:val="0C684C0B"/>
    <w:rsid w:val="0C7300A7"/>
    <w:rsid w:val="0C840C54"/>
    <w:rsid w:val="0D281AC6"/>
    <w:rsid w:val="0DDE33D6"/>
    <w:rsid w:val="0E897657"/>
    <w:rsid w:val="0EAC69B5"/>
    <w:rsid w:val="0EB82B0C"/>
    <w:rsid w:val="0F002F42"/>
    <w:rsid w:val="0F773511"/>
    <w:rsid w:val="0F94599E"/>
    <w:rsid w:val="102F7D33"/>
    <w:rsid w:val="10367726"/>
    <w:rsid w:val="108F7865"/>
    <w:rsid w:val="10B64EE6"/>
    <w:rsid w:val="13475176"/>
    <w:rsid w:val="14197A5B"/>
    <w:rsid w:val="146F76C7"/>
    <w:rsid w:val="14A95345"/>
    <w:rsid w:val="150C1A52"/>
    <w:rsid w:val="1770488F"/>
    <w:rsid w:val="180D50F9"/>
    <w:rsid w:val="18213170"/>
    <w:rsid w:val="18264E6D"/>
    <w:rsid w:val="18500836"/>
    <w:rsid w:val="18F61422"/>
    <w:rsid w:val="194507C2"/>
    <w:rsid w:val="19BF01DB"/>
    <w:rsid w:val="1A293780"/>
    <w:rsid w:val="1A3E0879"/>
    <w:rsid w:val="1A6006D8"/>
    <w:rsid w:val="1AA17C1C"/>
    <w:rsid w:val="1AEE0D31"/>
    <w:rsid w:val="1BA80045"/>
    <w:rsid w:val="1C22014C"/>
    <w:rsid w:val="1D342136"/>
    <w:rsid w:val="1D4B7167"/>
    <w:rsid w:val="1E422837"/>
    <w:rsid w:val="1E8A769A"/>
    <w:rsid w:val="1F100FFA"/>
    <w:rsid w:val="1F6A10E6"/>
    <w:rsid w:val="1F8034C6"/>
    <w:rsid w:val="200A78A1"/>
    <w:rsid w:val="20BA1149"/>
    <w:rsid w:val="21500701"/>
    <w:rsid w:val="216B4A97"/>
    <w:rsid w:val="21B3274A"/>
    <w:rsid w:val="21D2453B"/>
    <w:rsid w:val="2249075F"/>
    <w:rsid w:val="227F5A02"/>
    <w:rsid w:val="22C22EA3"/>
    <w:rsid w:val="22CC6DB4"/>
    <w:rsid w:val="234D4AF1"/>
    <w:rsid w:val="235E094F"/>
    <w:rsid w:val="241C18E8"/>
    <w:rsid w:val="24995C02"/>
    <w:rsid w:val="25B5068D"/>
    <w:rsid w:val="26022968"/>
    <w:rsid w:val="26397BEF"/>
    <w:rsid w:val="263B4A2A"/>
    <w:rsid w:val="27614BD9"/>
    <w:rsid w:val="28380A29"/>
    <w:rsid w:val="286E06F0"/>
    <w:rsid w:val="29C70282"/>
    <w:rsid w:val="2A9A68B3"/>
    <w:rsid w:val="2AE631EB"/>
    <w:rsid w:val="2B7A5AD2"/>
    <w:rsid w:val="2BDD09AA"/>
    <w:rsid w:val="2BE27424"/>
    <w:rsid w:val="2C37665C"/>
    <w:rsid w:val="2CDF15C4"/>
    <w:rsid w:val="2DDE02C2"/>
    <w:rsid w:val="2E3466E6"/>
    <w:rsid w:val="2E8A57F2"/>
    <w:rsid w:val="2EAE23E9"/>
    <w:rsid w:val="2EEA5D2E"/>
    <w:rsid w:val="2F67576B"/>
    <w:rsid w:val="2F6D7432"/>
    <w:rsid w:val="2F893880"/>
    <w:rsid w:val="2F905DAE"/>
    <w:rsid w:val="30366CBD"/>
    <w:rsid w:val="314861A8"/>
    <w:rsid w:val="316B2972"/>
    <w:rsid w:val="321B087C"/>
    <w:rsid w:val="327E4138"/>
    <w:rsid w:val="32862495"/>
    <w:rsid w:val="32DB080F"/>
    <w:rsid w:val="3311267B"/>
    <w:rsid w:val="338A5FFF"/>
    <w:rsid w:val="343229AE"/>
    <w:rsid w:val="3490143A"/>
    <w:rsid w:val="3495641D"/>
    <w:rsid w:val="35447FCE"/>
    <w:rsid w:val="36AA2022"/>
    <w:rsid w:val="37677AC9"/>
    <w:rsid w:val="378F6D3D"/>
    <w:rsid w:val="37BDB4D1"/>
    <w:rsid w:val="383F5D27"/>
    <w:rsid w:val="38BA1D7B"/>
    <w:rsid w:val="390150E4"/>
    <w:rsid w:val="39A23026"/>
    <w:rsid w:val="3A291CAC"/>
    <w:rsid w:val="3C0B0E0D"/>
    <w:rsid w:val="3CBB5E62"/>
    <w:rsid w:val="3CDD0C28"/>
    <w:rsid w:val="3E6C65E5"/>
    <w:rsid w:val="3EC311F8"/>
    <w:rsid w:val="3F816C1D"/>
    <w:rsid w:val="3F882618"/>
    <w:rsid w:val="406432DB"/>
    <w:rsid w:val="40EE357F"/>
    <w:rsid w:val="416A3120"/>
    <w:rsid w:val="42375A0F"/>
    <w:rsid w:val="42C214B2"/>
    <w:rsid w:val="42C24D0E"/>
    <w:rsid w:val="44181676"/>
    <w:rsid w:val="44E10313"/>
    <w:rsid w:val="45352317"/>
    <w:rsid w:val="45402458"/>
    <w:rsid w:val="461556AB"/>
    <w:rsid w:val="47262E63"/>
    <w:rsid w:val="473D7EEC"/>
    <w:rsid w:val="484C320F"/>
    <w:rsid w:val="48823D2D"/>
    <w:rsid w:val="48A83377"/>
    <w:rsid w:val="494C2058"/>
    <w:rsid w:val="4AEB4DAD"/>
    <w:rsid w:val="4B914261"/>
    <w:rsid w:val="4BC71DCB"/>
    <w:rsid w:val="4C6C6338"/>
    <w:rsid w:val="4D231C98"/>
    <w:rsid w:val="4E6167A4"/>
    <w:rsid w:val="51B43B94"/>
    <w:rsid w:val="53450869"/>
    <w:rsid w:val="53594A08"/>
    <w:rsid w:val="537B02A8"/>
    <w:rsid w:val="538128A0"/>
    <w:rsid w:val="539C375E"/>
    <w:rsid w:val="53E77816"/>
    <w:rsid w:val="5406687D"/>
    <w:rsid w:val="5411022F"/>
    <w:rsid w:val="5496672B"/>
    <w:rsid w:val="54ED6457"/>
    <w:rsid w:val="54FD3B4C"/>
    <w:rsid w:val="55183418"/>
    <w:rsid w:val="55505862"/>
    <w:rsid w:val="5565406F"/>
    <w:rsid w:val="559B5CEC"/>
    <w:rsid w:val="55E27A66"/>
    <w:rsid w:val="569E5176"/>
    <w:rsid w:val="57095F30"/>
    <w:rsid w:val="578E7738"/>
    <w:rsid w:val="580107E0"/>
    <w:rsid w:val="582E55DC"/>
    <w:rsid w:val="585A537B"/>
    <w:rsid w:val="596F20A7"/>
    <w:rsid w:val="59B611D6"/>
    <w:rsid w:val="59B829B4"/>
    <w:rsid w:val="5A152B8E"/>
    <w:rsid w:val="5B4C5738"/>
    <w:rsid w:val="5C1900D6"/>
    <w:rsid w:val="5C6F2B80"/>
    <w:rsid w:val="5C724537"/>
    <w:rsid w:val="5DCC29F6"/>
    <w:rsid w:val="5E680C54"/>
    <w:rsid w:val="5F136C67"/>
    <w:rsid w:val="61787492"/>
    <w:rsid w:val="61AE73A7"/>
    <w:rsid w:val="61CC0A74"/>
    <w:rsid w:val="638363FC"/>
    <w:rsid w:val="63B35A33"/>
    <w:rsid w:val="63CE5692"/>
    <w:rsid w:val="643A7097"/>
    <w:rsid w:val="64B82ECB"/>
    <w:rsid w:val="6640653A"/>
    <w:rsid w:val="66777970"/>
    <w:rsid w:val="67337C83"/>
    <w:rsid w:val="680971A8"/>
    <w:rsid w:val="6873223C"/>
    <w:rsid w:val="6A7463F1"/>
    <w:rsid w:val="6AB54C48"/>
    <w:rsid w:val="6C3B79CE"/>
    <w:rsid w:val="6CA74043"/>
    <w:rsid w:val="6D4D406B"/>
    <w:rsid w:val="6D6A07FA"/>
    <w:rsid w:val="6DF57433"/>
    <w:rsid w:val="6F9A64A6"/>
    <w:rsid w:val="6FA26FC6"/>
    <w:rsid w:val="71411DF8"/>
    <w:rsid w:val="71800E1E"/>
    <w:rsid w:val="72092C28"/>
    <w:rsid w:val="72AA3BC7"/>
    <w:rsid w:val="73644572"/>
    <w:rsid w:val="73BD2CAD"/>
    <w:rsid w:val="73FC61E2"/>
    <w:rsid w:val="743F0875"/>
    <w:rsid w:val="74613512"/>
    <w:rsid w:val="74797A75"/>
    <w:rsid w:val="74876CE2"/>
    <w:rsid w:val="74AF1AD3"/>
    <w:rsid w:val="74B653CE"/>
    <w:rsid w:val="74F742E0"/>
    <w:rsid w:val="75006E85"/>
    <w:rsid w:val="75A76074"/>
    <w:rsid w:val="75E54DB7"/>
    <w:rsid w:val="765A2E32"/>
    <w:rsid w:val="76B17398"/>
    <w:rsid w:val="76F80885"/>
    <w:rsid w:val="77A628D3"/>
    <w:rsid w:val="77CD5980"/>
    <w:rsid w:val="781B7C7F"/>
    <w:rsid w:val="785E05D6"/>
    <w:rsid w:val="78C806DE"/>
    <w:rsid w:val="7A1F73C9"/>
    <w:rsid w:val="7A53571C"/>
    <w:rsid w:val="7A956F1A"/>
    <w:rsid w:val="7ABF4C7C"/>
    <w:rsid w:val="7B2C04AF"/>
    <w:rsid w:val="7C67566C"/>
    <w:rsid w:val="7D3D73E2"/>
    <w:rsid w:val="7E1E1C56"/>
    <w:rsid w:val="7E231648"/>
    <w:rsid w:val="7E3439EB"/>
    <w:rsid w:val="7E652098"/>
    <w:rsid w:val="7E8008F8"/>
    <w:rsid w:val="7EA01C06"/>
    <w:rsid w:val="7ED43308"/>
    <w:rsid w:val="7F7266B2"/>
    <w:rsid w:val="7F8561B4"/>
    <w:rsid w:val="7FF113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0"/>
    <w:pPr>
      <w:ind w:firstLine="420"/>
    </w:pPr>
  </w:style>
  <w:style w:type="paragraph" w:styleId="3">
    <w:name w:val="annotation text"/>
    <w:basedOn w:val="1"/>
    <w:link w:val="23"/>
    <w:unhideWhenUsed/>
    <w:qFormat/>
    <w:uiPriority w:val="99"/>
    <w:pPr>
      <w:jc w:val="left"/>
    </w:pPr>
  </w:style>
  <w:style w:type="paragraph" w:styleId="4">
    <w:name w:val="Body Text Indent"/>
    <w:basedOn w:val="1"/>
    <w:link w:val="26"/>
    <w:unhideWhenUsed/>
    <w:qFormat/>
    <w:uiPriority w:val="99"/>
    <w:pPr>
      <w:spacing w:after="120"/>
      <w:ind w:left="420" w:leftChars="200"/>
    </w:pPr>
  </w:style>
  <w:style w:type="paragraph" w:styleId="5">
    <w:name w:val="Balloon Text"/>
    <w:basedOn w:val="1"/>
    <w:link w:val="21"/>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0"/>
    <w:pPr>
      <w:snapToGrid w:val="0"/>
      <w:jc w:val="left"/>
    </w:pPr>
    <w:rPr>
      <w:sz w:val="18"/>
    </w:rPr>
  </w:style>
  <w:style w:type="paragraph" w:styleId="9">
    <w:name w:val="Normal (Web)"/>
    <w:basedOn w:val="1"/>
    <w:qFormat/>
    <w:uiPriority w:val="99"/>
    <w:rPr>
      <w:sz w:val="24"/>
    </w:rPr>
  </w:style>
  <w:style w:type="paragraph" w:styleId="10">
    <w:name w:val="annotation subject"/>
    <w:basedOn w:val="3"/>
    <w:next w:val="3"/>
    <w:link w:val="22"/>
    <w:unhideWhenUsed/>
    <w:qFormat/>
    <w:uiPriority w:val="99"/>
    <w:rPr>
      <w:b/>
      <w:bCs/>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unhideWhenUsed/>
    <w:qFormat/>
    <w:uiPriority w:val="99"/>
  </w:style>
  <w:style w:type="character" w:styleId="16">
    <w:name w:val="annotation reference"/>
    <w:basedOn w:val="13"/>
    <w:unhideWhenUsed/>
    <w:qFormat/>
    <w:uiPriority w:val="99"/>
    <w:rPr>
      <w:sz w:val="21"/>
      <w:szCs w:val="21"/>
    </w:rPr>
  </w:style>
  <w:style w:type="character" w:styleId="17">
    <w:name w:val="footnote reference"/>
    <w:basedOn w:val="13"/>
    <w:unhideWhenUsed/>
    <w:qFormat/>
    <w:uiPriority w:val="0"/>
    <w:rPr>
      <w:vertAlign w:val="superscript"/>
    </w:rPr>
  </w:style>
  <w:style w:type="paragraph" w:customStyle="1" w:styleId="18">
    <w:name w:val="特点"/>
    <w:basedOn w:val="1"/>
    <w:next w:val="4"/>
    <w:qFormat/>
    <w:uiPriority w:val="0"/>
    <w:pPr>
      <w:spacing w:line="300" w:lineRule="exact"/>
      <w:ind w:right="26" w:firstLine="435"/>
    </w:pPr>
    <w:rPr>
      <w:rFonts w:ascii="Times New Roman" w:hAnsi="Times New Roman" w:eastAsia="黑体" w:cs="Times New Roman"/>
      <w:sz w:val="18"/>
      <w:szCs w:val="20"/>
    </w:rPr>
  </w:style>
  <w:style w:type="paragraph" w:customStyle="1" w:styleId="19">
    <w:name w:val="正文文本缩进 31"/>
    <w:basedOn w:val="1"/>
    <w:qFormat/>
    <w:uiPriority w:val="0"/>
    <w:pPr>
      <w:spacing w:after="120"/>
      <w:ind w:left="420" w:leftChars="200"/>
    </w:pPr>
    <w:rPr>
      <w:rFonts w:ascii="Times New Roman" w:hAnsi="Times New Roman" w:cs="Times New Roman"/>
      <w:sz w:val="16"/>
      <w:szCs w:val="16"/>
    </w:rPr>
  </w:style>
  <w:style w:type="paragraph" w:customStyle="1" w:styleId="20">
    <w:name w:val="Default"/>
    <w:unhideWhenUsed/>
    <w:qFormat/>
    <w:uiPriority w:val="99"/>
    <w:pPr>
      <w:widowControl w:val="0"/>
      <w:autoSpaceDE w:val="0"/>
      <w:autoSpaceDN w:val="0"/>
    </w:pPr>
    <w:rPr>
      <w:rFonts w:hint="eastAsia" w:ascii="仿宋" w:hAnsi="仿宋" w:eastAsia="仿宋" w:cs="Calibri"/>
      <w:color w:val="000000"/>
      <w:sz w:val="24"/>
      <w:lang w:val="en-US" w:eastAsia="zh-CN" w:bidi="ar-SA"/>
    </w:rPr>
  </w:style>
  <w:style w:type="character" w:customStyle="1" w:styleId="21">
    <w:name w:val="批注框文本 字符"/>
    <w:basedOn w:val="13"/>
    <w:link w:val="5"/>
    <w:qFormat/>
    <w:uiPriority w:val="99"/>
    <w:rPr>
      <w:sz w:val="18"/>
      <w:szCs w:val="18"/>
    </w:rPr>
  </w:style>
  <w:style w:type="character" w:customStyle="1" w:styleId="22">
    <w:name w:val="批注主题 字符"/>
    <w:basedOn w:val="23"/>
    <w:link w:val="10"/>
    <w:qFormat/>
    <w:uiPriority w:val="99"/>
    <w:rPr>
      <w:b/>
      <w:bCs/>
    </w:rPr>
  </w:style>
  <w:style w:type="character" w:customStyle="1" w:styleId="23">
    <w:name w:val="批注文字 字符"/>
    <w:basedOn w:val="13"/>
    <w:link w:val="3"/>
    <w:qFormat/>
    <w:uiPriority w:val="99"/>
  </w:style>
  <w:style w:type="character" w:customStyle="1" w:styleId="24">
    <w:name w:val="页眉 字符"/>
    <w:basedOn w:val="13"/>
    <w:link w:val="7"/>
    <w:qFormat/>
    <w:uiPriority w:val="99"/>
    <w:rPr>
      <w:sz w:val="18"/>
      <w:szCs w:val="18"/>
    </w:rPr>
  </w:style>
  <w:style w:type="character" w:customStyle="1" w:styleId="25">
    <w:name w:val="页脚 字符"/>
    <w:basedOn w:val="13"/>
    <w:link w:val="6"/>
    <w:qFormat/>
    <w:uiPriority w:val="99"/>
    <w:rPr>
      <w:sz w:val="18"/>
      <w:szCs w:val="18"/>
    </w:rPr>
  </w:style>
  <w:style w:type="character" w:customStyle="1" w:styleId="26">
    <w:name w:val="正文文本缩进 字符"/>
    <w:basedOn w:val="13"/>
    <w:link w:val="4"/>
    <w:qFormat/>
    <w:uiPriority w:val="99"/>
  </w:style>
  <w:style w:type="paragraph" w:customStyle="1" w:styleId="27">
    <w:name w:val="修订1"/>
    <w:hidden/>
    <w:semiHidden/>
    <w:qFormat/>
    <w:uiPriority w:val="99"/>
    <w:rPr>
      <w:rFonts w:ascii="Calibri" w:hAnsi="Calibri" w:eastAsia="宋体" w:cs="Calibri"/>
      <w:kern w:val="2"/>
      <w:sz w:val="21"/>
      <w:szCs w:val="22"/>
      <w:lang w:val="en-US" w:eastAsia="zh-CN" w:bidi="ar-SA"/>
    </w:rPr>
  </w:style>
  <w:style w:type="paragraph" w:styleId="28">
    <w:name w:val="List Paragraph"/>
    <w:basedOn w:val="1"/>
    <w:qFormat/>
    <w:uiPriority w:val="99"/>
    <w:pPr>
      <w:ind w:firstLine="420" w:firstLineChars="200"/>
    </w:pPr>
  </w:style>
  <w:style w:type="character" w:customStyle="1" w:styleId="29">
    <w:name w:val="fontstyle01"/>
    <w:basedOn w:val="13"/>
    <w:qFormat/>
    <w:uiPriority w:val="0"/>
    <w:rPr>
      <w:rFonts w:hint="eastAsia" w:ascii="宋体" w:hAnsi="宋体" w:eastAsia="宋体"/>
      <w:color w:val="000000"/>
      <w:sz w:val="24"/>
      <w:szCs w:val="24"/>
    </w:rPr>
  </w:style>
  <w:style w:type="paragraph" w:customStyle="1" w:styleId="30">
    <w:name w:val="修订2"/>
    <w:hidden/>
    <w:semiHidden/>
    <w:qFormat/>
    <w:uiPriority w:val="99"/>
    <w:rPr>
      <w:rFonts w:ascii="Calibri" w:hAnsi="Calibri" w:eastAsia="宋体" w:cs="Calibri"/>
      <w:kern w:val="2"/>
      <w:sz w:val="21"/>
      <w:szCs w:val="22"/>
      <w:lang w:val="en-US" w:eastAsia="zh-CN" w:bidi="ar-SA"/>
    </w:rPr>
  </w:style>
  <w:style w:type="paragraph" w:customStyle="1" w:styleId="31">
    <w:name w:val="修订3"/>
    <w:hidden/>
    <w:unhideWhenUsed/>
    <w:qFormat/>
    <w:uiPriority w:val="99"/>
    <w:rPr>
      <w:rFonts w:ascii="Calibri" w:hAnsi="Calibri" w:eastAsia="宋体" w:cs="Calibri"/>
      <w:kern w:val="2"/>
      <w:sz w:val="21"/>
      <w:szCs w:val="22"/>
      <w:lang w:val="en-US" w:eastAsia="zh-CN" w:bidi="ar-SA"/>
    </w:rPr>
  </w:style>
  <w:style w:type="paragraph" w:customStyle="1" w:styleId="32">
    <w:name w:val="修订4"/>
    <w:hidden/>
    <w:unhideWhenUsed/>
    <w:qFormat/>
    <w:uiPriority w:val="99"/>
    <w:rPr>
      <w:rFonts w:ascii="Calibri" w:hAnsi="Calibri" w:eastAsia="宋体" w:cs="Calibri"/>
      <w:kern w:val="2"/>
      <w:sz w:val="21"/>
      <w:szCs w:val="22"/>
      <w:lang w:val="en-US" w:eastAsia="zh-CN" w:bidi="ar-SA"/>
    </w:rPr>
  </w:style>
  <w:style w:type="paragraph" w:customStyle="1" w:styleId="33">
    <w:name w:val="修订5"/>
    <w:hidden/>
    <w:unhideWhenUsed/>
    <w:qFormat/>
    <w:uiPriority w:val="99"/>
    <w:rPr>
      <w:rFonts w:ascii="Calibri" w:hAnsi="Calibri" w:eastAsia="宋体" w:cs="Calibri"/>
      <w:kern w:val="2"/>
      <w:sz w:val="21"/>
      <w:szCs w:val="22"/>
      <w:lang w:val="en-US" w:eastAsia="zh-CN" w:bidi="ar-SA"/>
    </w:rPr>
  </w:style>
  <w:style w:type="paragraph" w:customStyle="1" w:styleId="34">
    <w:name w:val="修订6"/>
    <w:hidden/>
    <w:unhideWhenUsed/>
    <w:qFormat/>
    <w:uiPriority w:val="99"/>
    <w:rPr>
      <w:rFonts w:ascii="Calibri" w:hAnsi="Calibri" w:eastAsia="宋体" w:cs="Calibri"/>
      <w:kern w:val="2"/>
      <w:sz w:val="21"/>
      <w:szCs w:val="22"/>
      <w:lang w:val="en-US" w:eastAsia="zh-CN" w:bidi="ar-SA"/>
    </w:rPr>
  </w:style>
  <w:style w:type="paragraph" w:customStyle="1" w:styleId="35">
    <w:name w:val="Revision"/>
    <w:hidden/>
    <w:unhideWhenUsed/>
    <w:qFormat/>
    <w:uiPriority w:val="99"/>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BANK OF GUIZHOU</Company>
  <Pages>17</Pages>
  <Words>10518</Words>
  <Characters>11202</Characters>
  <Lines>84</Lines>
  <Paragraphs>23</Paragraphs>
  <TotalTime>46</TotalTime>
  <ScaleCrop>false</ScaleCrop>
  <LinksUpToDate>false</LinksUpToDate>
  <CharactersWithSpaces>11461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2023-07-05T01:57:00Z</dcterms:created>
  <dc:creator>Administrator</dc:creator>
  <cp:lastModifiedBy>尹红杏</cp:lastModifiedBy>
  <cp:lastPrinted>2023-05-18T15:08:00Z</cp:lastPrinted>
  <dcterms:modified xsi:type="dcterms:W3CDTF">2024-12-02T01:29:05Z</dcterms:modified>
  <dc:title>贵州银行“贵银恒利2号第77期”理财产品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BFAC309B9B094252A0B21489800B6D25</vt:lpwstr>
  </property>
</Properties>
</file>