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2A1B">
      <w:pPr>
        <w:tabs>
          <w:tab w:val="left" w:pos="1450"/>
        </w:tabs>
        <w:jc w:val="center"/>
        <w:outlineLvl w:val="0"/>
        <w:rPr>
          <w:rFonts w:hint="eastAsia" w:ascii="黑体" w:hAnsi="黑体" w:eastAsia="黑体" w:cs="黑体"/>
          <w:bCs/>
          <w:sz w:val="44"/>
          <w:szCs w:val="44"/>
          <w:lang w:eastAsia="zh-CN"/>
        </w:rPr>
      </w:pPr>
      <w:bookmarkStart w:id="5" w:name="_GoBack"/>
      <w:bookmarkEnd w:id="5"/>
      <w:r>
        <w:rPr>
          <w:rFonts w:hint="eastAsia" w:ascii="黑体" w:hAnsi="黑体" w:eastAsia="黑体" w:cs="黑体"/>
          <w:bCs/>
          <w:sz w:val="44"/>
          <w:szCs w:val="44"/>
        </w:rPr>
        <w:t>贵州银行“贵银恒利黔乐盈封闭</w:t>
      </w:r>
      <w:r>
        <w:rPr>
          <w:rFonts w:hint="eastAsia" w:ascii="黑体" w:hAnsi="黑体" w:eastAsia="黑体" w:cs="黑体"/>
          <w:bCs/>
          <w:sz w:val="44"/>
          <w:szCs w:val="44"/>
          <w:lang w:eastAsia="zh-CN"/>
        </w:rPr>
        <w:t>第</w:t>
      </w:r>
      <w:r>
        <w:rPr>
          <w:rFonts w:hint="eastAsia" w:ascii="黑体" w:hAnsi="黑体" w:eastAsia="黑体" w:cs="黑体"/>
          <w:bCs/>
          <w:sz w:val="44"/>
          <w:szCs w:val="44"/>
          <w:lang w:val="en-US" w:eastAsia="zh-CN"/>
        </w:rPr>
        <w:t>14</w:t>
      </w:r>
      <w:r>
        <w:rPr>
          <w:rFonts w:hint="eastAsia" w:ascii="黑体" w:hAnsi="黑体" w:eastAsia="黑体" w:cs="黑体"/>
          <w:bCs/>
          <w:sz w:val="44"/>
          <w:szCs w:val="44"/>
          <w:lang w:eastAsia="zh-CN"/>
        </w:rPr>
        <w:t>期</w:t>
      </w:r>
    </w:p>
    <w:p w14:paraId="3F8E70DC">
      <w:pPr>
        <w:tabs>
          <w:tab w:val="left" w:pos="1450"/>
        </w:tabs>
        <w:jc w:val="center"/>
        <w:outlineLvl w:val="0"/>
        <w:rPr>
          <w:rFonts w:ascii="黑体" w:hAnsi="黑体" w:eastAsia="黑体" w:cs="黑体"/>
          <w:bCs/>
          <w:sz w:val="44"/>
          <w:szCs w:val="44"/>
        </w:rPr>
      </w:pPr>
      <w:r>
        <w:rPr>
          <w:rFonts w:hint="eastAsia" w:ascii="黑体" w:hAnsi="黑体" w:eastAsia="黑体" w:cs="黑体"/>
          <w:bCs/>
          <w:sz w:val="44"/>
          <w:szCs w:val="44"/>
        </w:rPr>
        <w:t>（工会卡专属）”理财产品信息说明书</w:t>
      </w:r>
    </w:p>
    <w:p w14:paraId="7FE46FD5">
      <w:pPr>
        <w:spacing w:line="420" w:lineRule="exact"/>
        <w:jc w:val="center"/>
        <w:outlineLvl w:val="0"/>
        <w:rPr>
          <w:rFonts w:ascii="宋体" w:hAnsi="宋体" w:cs="宋体"/>
          <w:b/>
          <w:sz w:val="24"/>
          <w:szCs w:val="24"/>
          <w:highlight w:val="none"/>
        </w:rPr>
      </w:pPr>
      <w:r>
        <w:rPr>
          <w:rFonts w:hint="eastAsia" w:ascii="宋体" w:hAnsi="宋体" w:cs="宋体"/>
          <w:b/>
          <w:sz w:val="24"/>
          <w:szCs w:val="24"/>
        </w:rPr>
        <w:t>产品登记编码：</w:t>
      </w:r>
      <w:bookmarkStart w:id="0" w:name="_Hlk108600615"/>
      <w:r>
        <w:rPr>
          <w:rFonts w:hint="eastAsia" w:ascii="宋体" w:hAnsi="宋体" w:cs="宋体"/>
          <w:b/>
          <w:sz w:val="24"/>
          <w:szCs w:val="24"/>
          <w:highlight w:val="none"/>
        </w:rPr>
        <w:t>C121092400001</w:t>
      </w:r>
      <w:r>
        <w:rPr>
          <w:rFonts w:hint="eastAsia" w:ascii="宋体" w:hAnsi="宋体" w:cs="宋体"/>
          <w:b/>
          <w:sz w:val="24"/>
          <w:szCs w:val="24"/>
          <w:highlight w:val="none"/>
          <w:lang w:val="en-US" w:eastAsia="zh-CN"/>
        </w:rPr>
        <w:t>5</w:t>
      </w:r>
      <w:r>
        <w:rPr>
          <w:rFonts w:ascii="宋体" w:hAnsi="宋体" w:cs="宋体"/>
          <w:b/>
          <w:sz w:val="24"/>
          <w:szCs w:val="24"/>
          <w:highlight w:val="none"/>
        </w:rPr>
        <w:t xml:space="preserve">          </w:t>
      </w:r>
    </w:p>
    <w:bookmarkEnd w:id="0"/>
    <w:p w14:paraId="1F214FCD">
      <w:pPr>
        <w:jc w:val="center"/>
        <w:outlineLvl w:val="0"/>
        <w:rPr>
          <w:rFonts w:hint="default" w:ascii="黑体" w:hAnsi="黑体" w:eastAsia="宋体" w:cs="黑体"/>
          <w:b/>
          <w:sz w:val="24"/>
          <w:szCs w:val="24"/>
          <w:highlight w:val="none"/>
          <w:lang w:val="en-US" w:eastAsia="zh-CN"/>
        </w:rPr>
      </w:pPr>
      <w:r>
        <w:rPr>
          <w:rFonts w:hint="eastAsia" w:ascii="宋体" w:hAnsi="宋体" w:cs="宋体"/>
          <w:b/>
          <w:sz w:val="24"/>
          <w:szCs w:val="24"/>
          <w:highlight w:val="none"/>
        </w:rPr>
        <w:t>产品代码：LC2024</w:t>
      </w:r>
      <w:r>
        <w:rPr>
          <w:rFonts w:hint="eastAsia" w:ascii="宋体" w:hAnsi="宋体" w:cs="宋体"/>
          <w:b/>
          <w:sz w:val="24"/>
          <w:szCs w:val="24"/>
          <w:highlight w:val="none"/>
          <w:lang w:val="en-US" w:eastAsia="zh-CN"/>
        </w:rPr>
        <w:t>14</w:t>
      </w:r>
    </w:p>
    <w:p w14:paraId="6632674D">
      <w:pPr>
        <w:spacing w:line="360" w:lineRule="auto"/>
        <w:jc w:val="center"/>
        <w:outlineLvl w:val="0"/>
        <w:rPr>
          <w:rFonts w:hint="default" w:ascii="宋体" w:hAnsi="宋体" w:eastAsia="宋体" w:cs="宋体"/>
          <w:b/>
          <w:sz w:val="24"/>
          <w:szCs w:val="24"/>
          <w:lang w:val="en-US" w:eastAsia="zh-CN"/>
        </w:rPr>
      </w:pPr>
      <w:r>
        <w:rPr>
          <w:rFonts w:hint="eastAsia" w:ascii="宋体" w:hAnsi="宋体" w:cs="宋体"/>
          <w:b/>
          <w:sz w:val="24"/>
          <w:szCs w:val="24"/>
        </w:rPr>
        <w:t>版本：V</w:t>
      </w:r>
      <w:r>
        <w:rPr>
          <w:rFonts w:ascii="宋体" w:hAnsi="宋体" w:cs="宋体"/>
          <w:b/>
          <w:sz w:val="24"/>
          <w:szCs w:val="24"/>
        </w:rPr>
        <w:t>1.1</w:t>
      </w:r>
      <w:r>
        <w:rPr>
          <w:rFonts w:hint="eastAsia" w:ascii="宋体" w:hAnsi="宋体" w:cs="宋体"/>
          <w:b/>
          <w:sz w:val="24"/>
          <w:szCs w:val="24"/>
        </w:rPr>
        <w:t>-</w:t>
      </w:r>
      <w:r>
        <w:rPr>
          <w:rFonts w:ascii="宋体" w:hAnsi="宋体" w:cs="宋体"/>
          <w:b/>
          <w:sz w:val="24"/>
          <w:szCs w:val="24"/>
        </w:rPr>
        <w:t>2024</w:t>
      </w:r>
      <w:r>
        <w:rPr>
          <w:rFonts w:hint="eastAsia" w:ascii="宋体" w:hAnsi="宋体" w:cs="宋体"/>
          <w:b/>
          <w:sz w:val="24"/>
          <w:szCs w:val="24"/>
        </w:rPr>
        <w:t>.</w:t>
      </w:r>
      <w:r>
        <w:rPr>
          <w:rFonts w:hint="eastAsia" w:ascii="宋体" w:hAnsi="宋体" w:cs="宋体"/>
          <w:b/>
          <w:sz w:val="24"/>
          <w:szCs w:val="24"/>
          <w:lang w:val="en-US" w:eastAsia="zh-CN"/>
        </w:rPr>
        <w:t>12</w:t>
      </w:r>
    </w:p>
    <w:p w14:paraId="6C93616A">
      <w:pPr>
        <w:spacing w:line="360" w:lineRule="auto"/>
        <w:ind w:firstLine="482" w:firstLineChars="200"/>
        <w:jc w:val="left"/>
        <w:rPr>
          <w:rFonts w:ascii="黑体" w:hAnsi="黑体" w:eastAsia="黑体" w:cs="黑体"/>
          <w:b/>
          <w:sz w:val="24"/>
          <w:szCs w:val="24"/>
        </w:rPr>
      </w:pPr>
    </w:p>
    <w:p w14:paraId="592A19A2">
      <w:pPr>
        <w:spacing w:line="360" w:lineRule="auto"/>
        <w:ind w:firstLine="0" w:firstLineChars="0"/>
        <w:jc w:val="left"/>
        <w:rPr>
          <w:rFonts w:ascii="黑体" w:hAnsi="黑体" w:eastAsia="黑体" w:cs="黑体"/>
          <w:b/>
          <w:sz w:val="24"/>
          <w:szCs w:val="24"/>
        </w:rPr>
      </w:pPr>
      <w:r>
        <w:rPr>
          <w:rFonts w:hint="eastAsia" w:ascii="黑体" w:hAnsi="黑体" w:eastAsia="黑体" w:cs="黑体"/>
          <w:b/>
          <w:sz w:val="24"/>
          <w:szCs w:val="24"/>
        </w:rPr>
        <w:t>尊敬的投资者：</w:t>
      </w:r>
    </w:p>
    <w:p w14:paraId="21C0DC81">
      <w:pPr>
        <w:spacing w:line="360" w:lineRule="auto"/>
        <w:ind w:firstLine="482" w:firstLineChars="200"/>
        <w:jc w:val="left"/>
        <w:rPr>
          <w:rFonts w:ascii="黑体" w:hAnsi="黑体" w:eastAsia="黑体" w:cs="黑体"/>
          <w:b/>
          <w:sz w:val="24"/>
          <w:szCs w:val="24"/>
        </w:rPr>
      </w:pPr>
      <w:r>
        <w:rPr>
          <w:rFonts w:hint="eastAsia" w:ascii="黑体" w:hAnsi="黑体" w:eastAsia="黑体"/>
          <w:b/>
          <w:sz w:val="24"/>
        </w:rPr>
        <w:t>为维护投资者（以下称“您”）的合法权益，在签署本说明书前，请您仔细阅读本说明书的各项条款并特别关注字体加粗部分，了解您在本产品中的权利和义务。</w:t>
      </w:r>
      <w:r>
        <w:rPr>
          <w:rFonts w:hint="eastAsia" w:ascii="黑体" w:hAnsi="黑体" w:eastAsia="黑体" w:cs="黑体"/>
          <w:b/>
          <w:sz w:val="24"/>
          <w:szCs w:val="24"/>
        </w:rPr>
        <w:t>若您对本说明书的内容有任何疑问，请向贵州银行各营业网点或拨打贵州银行客服电话96655咨询。</w:t>
      </w:r>
    </w:p>
    <w:p w14:paraId="23429A9C">
      <w:pPr>
        <w:pStyle w:val="16"/>
        <w:spacing w:line="360" w:lineRule="auto"/>
        <w:ind w:right="0" w:firstLine="482" w:firstLineChars="200"/>
        <w:rPr>
          <w:rFonts w:ascii="黑体" w:hAnsi="黑体" w:cs="黑体"/>
          <w:b/>
          <w:sz w:val="24"/>
          <w:szCs w:val="24"/>
        </w:rPr>
      </w:pPr>
      <w:r>
        <w:rPr>
          <w:rFonts w:hint="eastAsia" w:ascii="黑体" w:hAnsi="黑体" w:cs="黑体"/>
          <w:b/>
          <w:sz w:val="24"/>
          <w:szCs w:val="24"/>
        </w:rPr>
        <w:t>1.在购买本理财产品前，请您应确保自己完全明白该项投资的性质和所涉及的风险，详细了解和审慎评估该理财产品的投资管理、风险类型等基本情况，在慎重考虑后自行决定购买与自身风险承受能力和资产管理需求匹配的理财产品。</w:t>
      </w:r>
    </w:p>
    <w:p w14:paraId="530CB9E5">
      <w:pPr>
        <w:pStyle w:val="16"/>
        <w:spacing w:line="360" w:lineRule="auto"/>
        <w:ind w:right="0" w:firstLine="482" w:firstLineChars="200"/>
        <w:rPr>
          <w:rFonts w:ascii="黑体" w:hAnsi="黑体" w:cs="黑体"/>
          <w:b/>
          <w:sz w:val="24"/>
          <w:szCs w:val="24"/>
        </w:rPr>
      </w:pPr>
      <w:r>
        <w:rPr>
          <w:rFonts w:hint="eastAsia" w:ascii="黑体" w:hAnsi="黑体" w:cs="黑体"/>
          <w:b/>
          <w:sz w:val="24"/>
          <w:szCs w:val="24"/>
        </w:rPr>
        <w:t>2.本理财产品信息说明书、风险揭示书、客户权益须知及理财产品协议书构成理财合同不可分割的组成部分。</w:t>
      </w:r>
    </w:p>
    <w:p w14:paraId="64BB5ED4">
      <w:pPr>
        <w:pStyle w:val="16"/>
        <w:spacing w:line="360" w:lineRule="auto"/>
        <w:ind w:right="0" w:firstLine="482" w:firstLineChars="200"/>
        <w:rPr>
          <w:rFonts w:ascii="黑体" w:hAnsi="黑体" w:cs="黑体"/>
          <w:b/>
          <w:sz w:val="24"/>
          <w:szCs w:val="24"/>
        </w:rPr>
      </w:pPr>
      <w:r>
        <w:rPr>
          <w:rFonts w:hint="eastAsia" w:ascii="黑体" w:hAnsi="黑体" w:cs="黑体"/>
          <w:b/>
          <w:sz w:val="24"/>
          <w:szCs w:val="24"/>
        </w:rPr>
        <w:t>3.本理财产品仅向依据中华人民共和国相关法律法规及本产品信息说明书规定可以购买本理财产品的适当投资者发售。</w:t>
      </w:r>
    </w:p>
    <w:p w14:paraId="2A3D5681">
      <w:pPr>
        <w:pStyle w:val="16"/>
        <w:spacing w:line="360" w:lineRule="auto"/>
        <w:ind w:right="0" w:firstLine="482" w:firstLineChars="200"/>
        <w:rPr>
          <w:rFonts w:ascii="黑体" w:hAnsi="黑体" w:cs="黑体"/>
          <w:b/>
          <w:sz w:val="24"/>
          <w:szCs w:val="24"/>
        </w:rPr>
      </w:pPr>
      <w:r>
        <w:rPr>
          <w:rFonts w:hint="eastAsia" w:ascii="黑体" w:hAnsi="黑体" w:cs="黑体"/>
          <w:b/>
          <w:sz w:val="24"/>
          <w:szCs w:val="24"/>
        </w:rPr>
        <w:t>4.本产品信息说明书中任何业绩比较基准、测算收益或类似表述供投资者参考，不代表投资者可能获得的任何实际收益，亦不构成贵州银行对本理财产品的任何收益承诺。本理财产品为非保本浮动收益型理财产品，贵州银行不保证理财产品本金及理财收益。</w:t>
      </w:r>
    </w:p>
    <w:p w14:paraId="78ED4383">
      <w:pPr>
        <w:pStyle w:val="16"/>
        <w:spacing w:line="360" w:lineRule="auto"/>
        <w:ind w:right="0" w:firstLine="482" w:firstLineChars="200"/>
        <w:rPr>
          <w:rFonts w:ascii="黑体" w:hAnsi="黑体" w:cs="黑体"/>
          <w:b/>
          <w:sz w:val="24"/>
          <w:szCs w:val="24"/>
        </w:rPr>
      </w:pPr>
      <w:r>
        <w:rPr>
          <w:rFonts w:hint="eastAsia" w:ascii="黑体" w:hAnsi="黑体" w:cs="黑体"/>
          <w:b/>
          <w:sz w:val="24"/>
          <w:szCs w:val="24"/>
        </w:rPr>
        <w:t>5.您应根据自身判断审慎做出投资决定，不受任何诱导、误导。在购买本理财产品前，您应确保自己完全明白该项投资的性质、投资所涉及的风险以及您的风险承受能力，并根据自身情况做出投资决策。</w:t>
      </w:r>
    </w:p>
    <w:p w14:paraId="0126C374">
      <w:pPr>
        <w:pStyle w:val="4"/>
        <w:spacing w:after="0" w:line="360" w:lineRule="auto"/>
        <w:ind w:left="0" w:leftChars="0" w:firstLine="482" w:firstLineChars="200"/>
        <w:rPr>
          <w:rFonts w:ascii="黑体" w:hAnsi="黑体" w:eastAsia="黑体" w:cs="黑体"/>
          <w:b/>
          <w:sz w:val="24"/>
          <w:szCs w:val="24"/>
        </w:rPr>
      </w:pPr>
      <w:r>
        <w:rPr>
          <w:rFonts w:hint="eastAsia" w:ascii="黑体" w:hAnsi="黑体" w:eastAsia="黑体" w:cs="黑体"/>
          <w:b/>
          <w:sz w:val="24"/>
          <w:szCs w:val="24"/>
        </w:rPr>
        <w:t>6.您与贵州银行签署理财产品协议书等销售文件后，视为同意贵州银行从您的相应账户中扣划理财认/申购资金，无需您另行确认。</w:t>
      </w:r>
    </w:p>
    <w:p w14:paraId="736E1479">
      <w:pPr>
        <w:pStyle w:val="4"/>
        <w:spacing w:after="0" w:line="360" w:lineRule="auto"/>
        <w:ind w:left="0" w:leftChars="0" w:firstLine="480" w:firstLineChars="200"/>
        <w:rPr>
          <w:rFonts w:ascii="黑体" w:hAnsi="黑体" w:eastAsia="黑体" w:cs="黑体"/>
          <w:bCs/>
          <w:sz w:val="24"/>
          <w:szCs w:val="24"/>
        </w:rPr>
      </w:pPr>
      <w:r>
        <w:rPr>
          <w:rFonts w:hint="eastAsia" w:ascii="黑体" w:hAnsi="黑体" w:eastAsia="黑体" w:cs="黑体"/>
          <w:bCs/>
          <w:sz w:val="24"/>
          <w:szCs w:val="24"/>
        </w:rPr>
        <w:br w:type="page"/>
      </w:r>
    </w:p>
    <w:p w14:paraId="737BAC8D">
      <w:pPr>
        <w:pStyle w:val="4"/>
        <w:spacing w:after="0" w:line="360" w:lineRule="auto"/>
        <w:ind w:left="0" w:leftChars="0" w:firstLine="482" w:firstLineChars="200"/>
        <w:outlineLvl w:val="0"/>
        <w:rPr>
          <w:rFonts w:ascii="黑体" w:hAnsi="黑体" w:eastAsia="黑体" w:cs="黑体"/>
          <w:b/>
          <w:sz w:val="24"/>
          <w:szCs w:val="24"/>
        </w:rPr>
      </w:pPr>
      <w:r>
        <w:rPr>
          <w:rFonts w:hint="eastAsia" w:ascii="黑体" w:hAnsi="黑体" w:eastAsia="黑体" w:cs="黑体"/>
          <w:b/>
          <w:sz w:val="24"/>
          <w:szCs w:val="24"/>
        </w:rPr>
        <w:t>第一条  产品要素</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7513"/>
      </w:tblGrid>
      <w:tr w14:paraId="3449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2263" w:type="dxa"/>
            <w:tcMar>
              <w:top w:w="15" w:type="dxa"/>
              <w:left w:w="15" w:type="dxa"/>
              <w:bottom w:w="0" w:type="dxa"/>
              <w:right w:w="15" w:type="dxa"/>
            </w:tcMar>
            <w:vAlign w:val="center"/>
          </w:tcPr>
          <w:p w14:paraId="43FA86F3">
            <w:pPr>
              <w:spacing w:line="360" w:lineRule="auto"/>
              <w:jc w:val="left"/>
              <w:rPr>
                <w:rFonts w:ascii="宋体" w:hAnsi="宋体" w:cs="宋体"/>
                <w:b/>
                <w:bCs/>
                <w:sz w:val="24"/>
                <w:szCs w:val="24"/>
              </w:rPr>
            </w:pPr>
            <w:r>
              <w:rPr>
                <w:rFonts w:hint="eastAsia" w:ascii="宋体" w:hAnsi="宋体" w:cs="宋体"/>
                <w:b/>
                <w:bCs/>
                <w:sz w:val="24"/>
                <w:szCs w:val="24"/>
              </w:rPr>
              <w:t>产品名称</w:t>
            </w:r>
          </w:p>
        </w:tc>
        <w:tc>
          <w:tcPr>
            <w:tcW w:w="7513" w:type="dxa"/>
            <w:tcMar>
              <w:top w:w="15" w:type="dxa"/>
              <w:left w:w="15" w:type="dxa"/>
              <w:bottom w:w="0" w:type="dxa"/>
              <w:right w:w="15" w:type="dxa"/>
            </w:tcMar>
            <w:vAlign w:val="center"/>
          </w:tcPr>
          <w:p w14:paraId="4B34BF2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贵银恒利黔乐盈封闭</w:t>
            </w:r>
            <w:r>
              <w:rPr>
                <w:rFonts w:hint="eastAsia" w:asciiTheme="minorEastAsia" w:hAnsiTheme="minorEastAsia" w:eastAsiaTheme="minorEastAsia" w:cstheme="minorEastAsia"/>
                <w:sz w:val="24"/>
                <w:szCs w:val="24"/>
                <w:lang w:eastAsia="zh-CN"/>
              </w:rPr>
              <w:t>第</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lang w:eastAsia="zh-CN"/>
              </w:rPr>
              <w:t>期</w:t>
            </w:r>
            <w:r>
              <w:rPr>
                <w:rFonts w:hint="eastAsia" w:asciiTheme="minorEastAsia" w:hAnsiTheme="minorEastAsia" w:eastAsiaTheme="minorEastAsia" w:cstheme="minorEastAsia"/>
                <w:sz w:val="24"/>
                <w:szCs w:val="24"/>
              </w:rPr>
              <w:t>（工会卡专属）</w:t>
            </w:r>
          </w:p>
        </w:tc>
      </w:tr>
      <w:tr w14:paraId="0259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2263" w:type="dxa"/>
            <w:tcMar>
              <w:top w:w="15" w:type="dxa"/>
              <w:left w:w="15" w:type="dxa"/>
              <w:bottom w:w="0" w:type="dxa"/>
              <w:right w:w="15" w:type="dxa"/>
            </w:tcMar>
            <w:vAlign w:val="center"/>
          </w:tcPr>
          <w:p w14:paraId="6EF889AD">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产品代码</w:t>
            </w:r>
          </w:p>
        </w:tc>
        <w:tc>
          <w:tcPr>
            <w:tcW w:w="7513" w:type="dxa"/>
            <w:tcMar>
              <w:top w:w="15" w:type="dxa"/>
              <w:left w:w="15" w:type="dxa"/>
              <w:bottom w:w="0" w:type="dxa"/>
              <w:right w:w="15" w:type="dxa"/>
            </w:tcMar>
            <w:vAlign w:val="center"/>
          </w:tcPr>
          <w:p w14:paraId="6C495394">
            <w:pPr>
              <w:spacing w:line="360" w:lineRule="auto"/>
              <w:rPr>
                <w:rFonts w:hint="default" w:eastAsia="宋体" w:asciiTheme="minorEastAsia" w:hAnsiTheme="minorEastAsia" w:cstheme="minorEastAsia"/>
                <w:bCs/>
                <w:sz w:val="24"/>
                <w:szCs w:val="24"/>
                <w:highlight w:val="none"/>
                <w:lang w:val="en-US" w:eastAsia="zh-CN"/>
              </w:rPr>
            </w:pPr>
            <w:r>
              <w:rPr>
                <w:rFonts w:hint="eastAsia" w:ascii="宋体" w:hAnsi="宋体" w:cs="宋体"/>
                <w:b w:val="0"/>
                <w:bCs/>
                <w:sz w:val="24"/>
                <w:szCs w:val="24"/>
                <w:highlight w:val="none"/>
              </w:rPr>
              <w:t>LC2024</w:t>
            </w:r>
            <w:r>
              <w:rPr>
                <w:rFonts w:hint="eastAsia" w:ascii="宋体" w:hAnsi="宋体" w:cs="宋体"/>
                <w:b w:val="0"/>
                <w:bCs/>
                <w:sz w:val="24"/>
                <w:szCs w:val="24"/>
                <w:highlight w:val="none"/>
                <w:lang w:val="en-US" w:eastAsia="zh-CN"/>
              </w:rPr>
              <w:t>14</w:t>
            </w:r>
          </w:p>
        </w:tc>
      </w:tr>
      <w:tr w14:paraId="0841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shd w:val="clear" w:color="auto" w:fill="auto"/>
            <w:tcMar>
              <w:top w:w="15" w:type="dxa"/>
              <w:left w:w="15" w:type="dxa"/>
              <w:bottom w:w="0" w:type="dxa"/>
              <w:right w:w="15" w:type="dxa"/>
            </w:tcMar>
            <w:vAlign w:val="center"/>
          </w:tcPr>
          <w:p w14:paraId="694C905A">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产品登记编码</w:t>
            </w:r>
          </w:p>
        </w:tc>
        <w:tc>
          <w:tcPr>
            <w:tcW w:w="7513" w:type="dxa"/>
            <w:shd w:val="clear" w:color="auto" w:fill="auto"/>
            <w:tcMar>
              <w:top w:w="15" w:type="dxa"/>
              <w:left w:w="15" w:type="dxa"/>
              <w:bottom w:w="0" w:type="dxa"/>
              <w:right w:w="15" w:type="dxa"/>
            </w:tcMar>
            <w:vAlign w:val="center"/>
          </w:tcPr>
          <w:p w14:paraId="4C9B410B">
            <w:pPr>
              <w:spacing w:line="360" w:lineRule="auto"/>
              <w:rPr>
                <w:rFonts w:hint="eastAsia" w:eastAsia="宋体" w:asciiTheme="minorEastAsia" w:hAnsiTheme="minorEastAsia" w:cstheme="minorEastAsia"/>
                <w:sz w:val="24"/>
                <w:szCs w:val="24"/>
                <w:highlight w:val="none"/>
                <w:lang w:eastAsia="zh-CN"/>
              </w:rPr>
            </w:pPr>
            <w:r>
              <w:rPr>
                <w:rFonts w:hint="eastAsia" w:ascii="宋体" w:hAnsi="宋体" w:cs="宋体"/>
                <w:b w:val="0"/>
                <w:bCs/>
                <w:sz w:val="24"/>
                <w:szCs w:val="24"/>
                <w:highlight w:val="none"/>
              </w:rPr>
              <w:t>C121092400001</w:t>
            </w:r>
            <w:r>
              <w:rPr>
                <w:rFonts w:hint="eastAsia" w:ascii="宋体" w:hAnsi="宋体" w:cs="宋体"/>
                <w:b w:val="0"/>
                <w:bCs/>
                <w:sz w:val="24"/>
                <w:szCs w:val="24"/>
                <w:highlight w:val="none"/>
                <w:lang w:val="en-US" w:eastAsia="zh-CN"/>
              </w:rPr>
              <w:t>5</w:t>
            </w:r>
          </w:p>
          <w:p w14:paraId="152C5361">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投资者可依据产品登记编码在“中国理财网”（</w:t>
            </w:r>
            <w:r>
              <w:rPr>
                <w:rFonts w:asciiTheme="minorEastAsia" w:hAnsiTheme="minorEastAsia" w:eastAsiaTheme="minorEastAsia" w:cstheme="minorEastAsia"/>
                <w:bCs/>
                <w:sz w:val="24"/>
                <w:szCs w:val="24"/>
                <w:highlight w:val="none"/>
              </w:rPr>
              <w:t>www.chinawealth.com.cn</w:t>
            </w:r>
            <w:r>
              <w:rPr>
                <w:rFonts w:hint="eastAsia" w:asciiTheme="minorEastAsia" w:hAnsiTheme="minorEastAsia" w:eastAsiaTheme="minorEastAsia" w:cstheme="minorEastAsia"/>
                <w:sz w:val="24"/>
                <w:szCs w:val="24"/>
                <w:highlight w:val="none"/>
              </w:rPr>
              <w:t>）查询产品信息。</w:t>
            </w:r>
          </w:p>
        </w:tc>
      </w:tr>
      <w:tr w14:paraId="1B25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tcMar>
              <w:top w:w="15" w:type="dxa"/>
              <w:left w:w="15" w:type="dxa"/>
              <w:bottom w:w="0" w:type="dxa"/>
              <w:right w:w="15" w:type="dxa"/>
            </w:tcMar>
            <w:vAlign w:val="center"/>
          </w:tcPr>
          <w:p w14:paraId="23A4AEE2">
            <w:pPr>
              <w:spacing w:line="360" w:lineRule="auto"/>
              <w:jc w:val="left"/>
              <w:rPr>
                <w:rFonts w:ascii="宋体" w:hAnsi="宋体" w:cs="宋体"/>
                <w:b/>
                <w:bCs/>
                <w:sz w:val="24"/>
                <w:szCs w:val="24"/>
              </w:rPr>
            </w:pPr>
            <w:r>
              <w:rPr>
                <w:rFonts w:hint="eastAsia" w:ascii="宋体" w:hAnsi="宋体" w:cs="宋体"/>
                <w:b/>
                <w:bCs/>
                <w:sz w:val="24"/>
                <w:szCs w:val="24"/>
              </w:rPr>
              <w:t>产品管理人统一社会信用代码</w:t>
            </w:r>
          </w:p>
        </w:tc>
        <w:tc>
          <w:tcPr>
            <w:tcW w:w="7513" w:type="dxa"/>
            <w:tcMar>
              <w:top w:w="15" w:type="dxa"/>
              <w:left w:w="15" w:type="dxa"/>
              <w:bottom w:w="0" w:type="dxa"/>
              <w:right w:w="15" w:type="dxa"/>
            </w:tcMar>
            <w:vAlign w:val="center"/>
          </w:tcPr>
          <w:p w14:paraId="668565AE">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915200000550280000</w:t>
            </w:r>
          </w:p>
        </w:tc>
      </w:tr>
      <w:tr w14:paraId="7601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 w:hRule="atLeast"/>
          <w:jc w:val="center"/>
        </w:trPr>
        <w:tc>
          <w:tcPr>
            <w:tcW w:w="2263" w:type="dxa"/>
            <w:tcMar>
              <w:top w:w="15" w:type="dxa"/>
              <w:left w:w="15" w:type="dxa"/>
              <w:bottom w:w="0" w:type="dxa"/>
              <w:right w:w="15" w:type="dxa"/>
            </w:tcMar>
            <w:vAlign w:val="center"/>
          </w:tcPr>
          <w:p w14:paraId="5CBEF8AA">
            <w:pPr>
              <w:spacing w:line="360" w:lineRule="auto"/>
              <w:jc w:val="left"/>
              <w:rPr>
                <w:rFonts w:ascii="宋体" w:hAnsi="宋体" w:cs="宋体"/>
                <w:b/>
                <w:bCs/>
                <w:sz w:val="24"/>
                <w:szCs w:val="24"/>
              </w:rPr>
            </w:pPr>
            <w:r>
              <w:rPr>
                <w:rFonts w:hint="eastAsia" w:ascii="宋体" w:hAnsi="宋体" w:cs="宋体"/>
                <w:b/>
                <w:bCs/>
                <w:sz w:val="24"/>
                <w:szCs w:val="24"/>
              </w:rPr>
              <w:t>产品管理人</w:t>
            </w:r>
          </w:p>
        </w:tc>
        <w:tc>
          <w:tcPr>
            <w:tcW w:w="7513" w:type="dxa"/>
            <w:tcMar>
              <w:top w:w="15" w:type="dxa"/>
              <w:left w:w="15" w:type="dxa"/>
              <w:bottom w:w="0" w:type="dxa"/>
              <w:right w:w="15" w:type="dxa"/>
            </w:tcMar>
            <w:vAlign w:val="center"/>
          </w:tcPr>
          <w:p w14:paraId="7D4CBE0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贵州银行股份有限公司</w:t>
            </w:r>
          </w:p>
        </w:tc>
      </w:tr>
      <w:tr w14:paraId="4E4C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tcMar>
              <w:top w:w="15" w:type="dxa"/>
              <w:left w:w="15" w:type="dxa"/>
              <w:bottom w:w="0" w:type="dxa"/>
              <w:right w:w="15" w:type="dxa"/>
            </w:tcMar>
            <w:vAlign w:val="center"/>
          </w:tcPr>
          <w:p w14:paraId="4DA794AA">
            <w:pPr>
              <w:spacing w:line="360" w:lineRule="auto"/>
              <w:jc w:val="left"/>
              <w:rPr>
                <w:rFonts w:ascii="宋体" w:hAnsi="宋体" w:cs="宋体"/>
                <w:b/>
                <w:bCs/>
                <w:sz w:val="24"/>
                <w:szCs w:val="24"/>
              </w:rPr>
            </w:pPr>
            <w:r>
              <w:rPr>
                <w:rFonts w:hint="eastAsia" w:ascii="宋体" w:hAnsi="宋体" w:cs="宋体"/>
                <w:b/>
                <w:bCs/>
                <w:sz w:val="24"/>
                <w:szCs w:val="24"/>
              </w:rPr>
              <w:t>产品托管人</w:t>
            </w:r>
          </w:p>
        </w:tc>
        <w:tc>
          <w:tcPr>
            <w:tcW w:w="7513" w:type="dxa"/>
            <w:tcMar>
              <w:top w:w="15" w:type="dxa"/>
              <w:left w:w="15" w:type="dxa"/>
              <w:bottom w:w="0" w:type="dxa"/>
              <w:right w:w="15" w:type="dxa"/>
            </w:tcMar>
            <w:vAlign w:val="center"/>
          </w:tcPr>
          <w:p w14:paraId="3146EBA9">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工商银行股份有限公司</w:t>
            </w:r>
          </w:p>
        </w:tc>
      </w:tr>
      <w:tr w14:paraId="4444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tcMar>
              <w:top w:w="15" w:type="dxa"/>
              <w:left w:w="15" w:type="dxa"/>
              <w:bottom w:w="0" w:type="dxa"/>
              <w:right w:w="15" w:type="dxa"/>
            </w:tcMar>
            <w:vAlign w:val="center"/>
          </w:tcPr>
          <w:p w14:paraId="478942BC">
            <w:pPr>
              <w:spacing w:line="360" w:lineRule="auto"/>
              <w:jc w:val="left"/>
              <w:rPr>
                <w:rFonts w:ascii="宋体" w:hAnsi="宋体" w:cs="宋体"/>
                <w:b/>
                <w:bCs/>
                <w:sz w:val="24"/>
                <w:szCs w:val="24"/>
              </w:rPr>
            </w:pPr>
            <w:r>
              <w:rPr>
                <w:rFonts w:hint="eastAsia" w:ascii="宋体" w:hAnsi="宋体" w:cs="宋体"/>
                <w:b/>
                <w:bCs/>
                <w:sz w:val="24"/>
                <w:szCs w:val="24"/>
              </w:rPr>
              <w:t>产品风险评级</w:t>
            </w:r>
          </w:p>
        </w:tc>
        <w:tc>
          <w:tcPr>
            <w:tcW w:w="7513" w:type="dxa"/>
            <w:tcMar>
              <w:top w:w="15" w:type="dxa"/>
              <w:left w:w="15" w:type="dxa"/>
              <w:bottom w:w="0" w:type="dxa"/>
              <w:right w:w="15" w:type="dxa"/>
            </w:tcMar>
            <w:vAlign w:val="center"/>
          </w:tcPr>
          <w:p w14:paraId="626F6A6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内部风险评级为二级</w:t>
            </w:r>
          </w:p>
        </w:tc>
      </w:tr>
      <w:tr w14:paraId="3225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2263" w:type="dxa"/>
            <w:tcMar>
              <w:top w:w="15" w:type="dxa"/>
              <w:left w:w="15" w:type="dxa"/>
              <w:bottom w:w="0" w:type="dxa"/>
              <w:right w:w="15" w:type="dxa"/>
            </w:tcMar>
            <w:vAlign w:val="center"/>
          </w:tcPr>
          <w:p w14:paraId="2A5258C2">
            <w:pPr>
              <w:spacing w:line="360" w:lineRule="auto"/>
              <w:jc w:val="left"/>
              <w:rPr>
                <w:rFonts w:ascii="宋体" w:hAnsi="宋体" w:cs="宋体"/>
                <w:b/>
                <w:bCs/>
                <w:sz w:val="24"/>
                <w:szCs w:val="24"/>
              </w:rPr>
            </w:pPr>
            <w:r>
              <w:rPr>
                <w:rFonts w:hint="eastAsia" w:ascii="宋体" w:hAnsi="宋体" w:cs="宋体"/>
                <w:b/>
                <w:bCs/>
                <w:sz w:val="24"/>
                <w:szCs w:val="24"/>
              </w:rPr>
              <w:t>目标投资者</w:t>
            </w:r>
          </w:p>
        </w:tc>
        <w:tc>
          <w:tcPr>
            <w:tcW w:w="7513" w:type="dxa"/>
            <w:tcMar>
              <w:top w:w="15" w:type="dxa"/>
              <w:left w:w="15" w:type="dxa"/>
              <w:bottom w:w="0" w:type="dxa"/>
              <w:right w:w="15" w:type="dxa"/>
            </w:tcMar>
            <w:vAlign w:val="center"/>
          </w:tcPr>
          <w:p w14:paraId="31AA769A">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经贵州银行投资者风险承受能力评估为稳健、平衡、成长、进取型的个人投资者，且为贵州银行工会卡客户。</w:t>
            </w:r>
          </w:p>
          <w:p w14:paraId="6F4021BA">
            <w:pPr>
              <w:spacing w:line="360" w:lineRule="auto"/>
              <w:rPr>
                <w:rFonts w:asciiTheme="minorEastAsia" w:hAnsiTheme="minorEastAsia" w:eastAsiaTheme="minorEastAsia" w:cstheme="minorEastAsia"/>
                <w:sz w:val="24"/>
                <w:szCs w:val="24"/>
              </w:rPr>
            </w:pPr>
            <w:r>
              <w:rPr>
                <w:rFonts w:hint="eastAsia" w:ascii="宋体" w:hAnsi="宋体" w:cs="宋体"/>
                <w:color w:val="000000" w:themeColor="text1"/>
                <w:sz w:val="24"/>
                <w:szCs w:val="24"/>
                <w14:textFill>
                  <w14:solidFill>
                    <w14:schemeClr w14:val="tx1"/>
                  </w14:solidFill>
                </w14:textFill>
              </w:rPr>
              <w:t>贵州银行根据投资者自身提供的信息评估投资者的风险承受能力，</w:t>
            </w:r>
            <w:r>
              <w:rPr>
                <w:rFonts w:hint="eastAsia" w:ascii="宋体" w:hAnsi="宋体" w:cs="宋体"/>
                <w:b/>
                <w:bCs/>
                <w:color w:val="000000" w:themeColor="text1"/>
                <w:sz w:val="24"/>
                <w:szCs w:val="24"/>
                <w14:textFill>
                  <w14:solidFill>
                    <w14:schemeClr w14:val="tx1"/>
                  </w14:solidFill>
                </w14:textFill>
              </w:rPr>
              <w:t>因投资者提供信息不真实、不准确或不完整，导致其购买与自己风险承受能力不匹配的理财产品的责任和风险由投资者承担。</w:t>
            </w:r>
          </w:p>
        </w:tc>
      </w:tr>
      <w:tr w14:paraId="1EA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263" w:type="dxa"/>
            <w:tcMar>
              <w:top w:w="15" w:type="dxa"/>
              <w:left w:w="15" w:type="dxa"/>
              <w:bottom w:w="0" w:type="dxa"/>
              <w:right w:w="15" w:type="dxa"/>
            </w:tcMar>
            <w:vAlign w:val="center"/>
          </w:tcPr>
          <w:p w14:paraId="27924160">
            <w:pPr>
              <w:spacing w:line="360" w:lineRule="auto"/>
              <w:jc w:val="left"/>
              <w:rPr>
                <w:rFonts w:ascii="宋体" w:hAnsi="宋体" w:cs="宋体"/>
                <w:b/>
                <w:bCs/>
                <w:sz w:val="24"/>
                <w:szCs w:val="24"/>
              </w:rPr>
            </w:pPr>
            <w:r>
              <w:rPr>
                <w:rFonts w:hint="eastAsia" w:ascii="宋体" w:hAnsi="宋体" w:cs="宋体"/>
                <w:b/>
                <w:bCs/>
                <w:sz w:val="24"/>
                <w:szCs w:val="24"/>
              </w:rPr>
              <w:t>本金及收益币种</w:t>
            </w:r>
          </w:p>
        </w:tc>
        <w:tc>
          <w:tcPr>
            <w:tcW w:w="7513" w:type="dxa"/>
            <w:tcMar>
              <w:top w:w="15" w:type="dxa"/>
              <w:left w:w="15" w:type="dxa"/>
              <w:bottom w:w="0" w:type="dxa"/>
              <w:right w:w="15" w:type="dxa"/>
            </w:tcMar>
            <w:vAlign w:val="center"/>
          </w:tcPr>
          <w:p w14:paraId="28618BD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w:t>
            </w:r>
          </w:p>
        </w:tc>
      </w:tr>
      <w:tr w14:paraId="69C0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263" w:type="dxa"/>
            <w:tcMar>
              <w:top w:w="15" w:type="dxa"/>
              <w:left w:w="15" w:type="dxa"/>
              <w:bottom w:w="0" w:type="dxa"/>
              <w:right w:w="15" w:type="dxa"/>
            </w:tcMar>
            <w:vAlign w:val="center"/>
          </w:tcPr>
          <w:p w14:paraId="238D82DA">
            <w:pPr>
              <w:spacing w:line="360" w:lineRule="auto"/>
              <w:jc w:val="left"/>
              <w:rPr>
                <w:rFonts w:ascii="宋体" w:hAnsi="宋体" w:cs="宋体"/>
                <w:b/>
                <w:bCs/>
                <w:sz w:val="24"/>
                <w:szCs w:val="24"/>
              </w:rPr>
            </w:pPr>
            <w:r>
              <w:rPr>
                <w:rFonts w:hint="eastAsia" w:ascii="宋体" w:hAnsi="宋体" w:cs="宋体"/>
                <w:b/>
                <w:bCs/>
                <w:sz w:val="24"/>
                <w:szCs w:val="24"/>
              </w:rPr>
              <w:t>产品类型</w:t>
            </w:r>
          </w:p>
        </w:tc>
        <w:tc>
          <w:tcPr>
            <w:tcW w:w="7513" w:type="dxa"/>
            <w:tcMar>
              <w:top w:w="15" w:type="dxa"/>
              <w:left w:w="15" w:type="dxa"/>
              <w:bottom w:w="0" w:type="dxa"/>
              <w:right w:w="15" w:type="dxa"/>
            </w:tcMar>
            <w:vAlign w:val="center"/>
          </w:tcPr>
          <w:p w14:paraId="766F4463">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固定收益类</w:t>
            </w:r>
          </w:p>
        </w:tc>
      </w:tr>
      <w:tr w14:paraId="1F77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2263" w:type="dxa"/>
            <w:tcMar>
              <w:top w:w="15" w:type="dxa"/>
              <w:left w:w="15" w:type="dxa"/>
              <w:bottom w:w="0" w:type="dxa"/>
              <w:right w:w="15" w:type="dxa"/>
            </w:tcMar>
            <w:vAlign w:val="center"/>
          </w:tcPr>
          <w:p w14:paraId="68D3B2A7">
            <w:pPr>
              <w:spacing w:line="360" w:lineRule="auto"/>
              <w:jc w:val="left"/>
              <w:rPr>
                <w:rFonts w:ascii="宋体" w:hAnsi="宋体" w:cs="宋体"/>
                <w:b/>
                <w:bCs/>
                <w:sz w:val="24"/>
                <w:szCs w:val="24"/>
              </w:rPr>
            </w:pPr>
            <w:r>
              <w:rPr>
                <w:rFonts w:hint="eastAsia" w:ascii="宋体" w:hAnsi="宋体" w:cs="宋体"/>
                <w:b/>
                <w:bCs/>
                <w:sz w:val="24"/>
                <w:szCs w:val="24"/>
              </w:rPr>
              <w:t>产品运作模式</w:t>
            </w:r>
          </w:p>
        </w:tc>
        <w:tc>
          <w:tcPr>
            <w:tcW w:w="7513" w:type="dxa"/>
            <w:tcMar>
              <w:top w:w="15" w:type="dxa"/>
              <w:left w:w="15" w:type="dxa"/>
              <w:bottom w:w="0" w:type="dxa"/>
              <w:right w:w="15" w:type="dxa"/>
            </w:tcMar>
            <w:vAlign w:val="center"/>
          </w:tcPr>
          <w:p w14:paraId="43753C0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封闭式净值型</w:t>
            </w:r>
          </w:p>
        </w:tc>
      </w:tr>
      <w:tr w14:paraId="50BC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2263" w:type="dxa"/>
            <w:tcMar>
              <w:top w:w="15" w:type="dxa"/>
              <w:left w:w="15" w:type="dxa"/>
              <w:bottom w:w="0" w:type="dxa"/>
              <w:right w:w="15" w:type="dxa"/>
            </w:tcMar>
            <w:vAlign w:val="center"/>
          </w:tcPr>
          <w:p w14:paraId="761E9A0F">
            <w:pPr>
              <w:spacing w:line="360" w:lineRule="auto"/>
              <w:jc w:val="left"/>
              <w:rPr>
                <w:rFonts w:ascii="宋体" w:hAnsi="宋体" w:cs="宋体"/>
                <w:b/>
                <w:bCs/>
                <w:sz w:val="24"/>
                <w:szCs w:val="24"/>
              </w:rPr>
            </w:pPr>
            <w:r>
              <w:rPr>
                <w:rFonts w:hint="eastAsia" w:ascii="宋体" w:hAnsi="宋体" w:cs="宋体"/>
                <w:b/>
                <w:bCs/>
                <w:sz w:val="24"/>
                <w:szCs w:val="24"/>
              </w:rPr>
              <w:t>募集方式</w:t>
            </w:r>
          </w:p>
        </w:tc>
        <w:tc>
          <w:tcPr>
            <w:tcW w:w="7513" w:type="dxa"/>
            <w:tcMar>
              <w:top w:w="15" w:type="dxa"/>
              <w:left w:w="15" w:type="dxa"/>
              <w:bottom w:w="0" w:type="dxa"/>
              <w:right w:w="15" w:type="dxa"/>
            </w:tcMar>
            <w:vAlign w:val="center"/>
          </w:tcPr>
          <w:p w14:paraId="58326DB3">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公募发行</w:t>
            </w:r>
          </w:p>
        </w:tc>
      </w:tr>
      <w:tr w14:paraId="7C08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2263" w:type="dxa"/>
            <w:tcMar>
              <w:top w:w="15" w:type="dxa"/>
              <w:left w:w="15" w:type="dxa"/>
              <w:bottom w:w="0" w:type="dxa"/>
              <w:right w:w="15" w:type="dxa"/>
            </w:tcMar>
            <w:vAlign w:val="center"/>
          </w:tcPr>
          <w:p w14:paraId="50CD9E69">
            <w:pPr>
              <w:spacing w:line="360" w:lineRule="auto"/>
              <w:jc w:val="left"/>
              <w:rPr>
                <w:rFonts w:ascii="宋体" w:hAnsi="宋体" w:cs="宋体"/>
                <w:b/>
                <w:bCs/>
                <w:sz w:val="24"/>
                <w:szCs w:val="24"/>
              </w:rPr>
            </w:pPr>
            <w:r>
              <w:rPr>
                <w:rFonts w:hint="eastAsia" w:ascii="宋体" w:hAnsi="宋体" w:cs="宋体"/>
                <w:b/>
                <w:bCs/>
                <w:sz w:val="24"/>
                <w:szCs w:val="24"/>
              </w:rPr>
              <w:t>产品规模</w:t>
            </w:r>
          </w:p>
        </w:tc>
        <w:tc>
          <w:tcPr>
            <w:tcW w:w="7513" w:type="dxa"/>
            <w:tcMar>
              <w:top w:w="15" w:type="dxa"/>
              <w:left w:w="15" w:type="dxa"/>
              <w:bottom w:w="0" w:type="dxa"/>
              <w:right w:w="15" w:type="dxa"/>
            </w:tcMar>
            <w:vAlign w:val="center"/>
          </w:tcPr>
          <w:p w14:paraId="33C8A40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asciiTheme="minorEastAsia" w:hAnsiTheme="minorEastAsia" w:eastAsiaTheme="minorEastAsia" w:cstheme="minorEastAsia"/>
                <w:sz w:val="24"/>
                <w:szCs w:val="24"/>
              </w:rPr>
              <w:t>000</w:t>
            </w:r>
            <w:r>
              <w:rPr>
                <w:rFonts w:hint="eastAsia" w:asciiTheme="minorEastAsia" w:hAnsiTheme="minorEastAsia" w:eastAsiaTheme="minorEastAsia" w:cstheme="minorEastAsia"/>
                <w:sz w:val="24"/>
                <w:szCs w:val="24"/>
              </w:rPr>
              <w:t>万元</w:t>
            </w:r>
          </w:p>
        </w:tc>
      </w:tr>
      <w:tr w14:paraId="4A95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2263" w:type="dxa"/>
            <w:tcMar>
              <w:top w:w="15" w:type="dxa"/>
              <w:left w:w="15" w:type="dxa"/>
              <w:bottom w:w="0" w:type="dxa"/>
              <w:right w:w="15" w:type="dxa"/>
            </w:tcMar>
            <w:vAlign w:val="center"/>
          </w:tcPr>
          <w:p w14:paraId="77921893">
            <w:pPr>
              <w:spacing w:line="360" w:lineRule="auto"/>
              <w:jc w:val="left"/>
              <w:rPr>
                <w:rFonts w:ascii="宋体" w:hAnsi="宋体" w:cs="宋体"/>
                <w:b/>
                <w:bCs/>
                <w:sz w:val="24"/>
                <w:szCs w:val="24"/>
              </w:rPr>
            </w:pPr>
            <w:r>
              <w:rPr>
                <w:rFonts w:hint="eastAsia" w:ascii="宋体" w:hAnsi="宋体" w:cs="宋体"/>
                <w:b/>
                <w:bCs/>
                <w:sz w:val="24"/>
                <w:szCs w:val="24"/>
              </w:rPr>
              <w:t>产品流动性</w:t>
            </w:r>
          </w:p>
        </w:tc>
        <w:tc>
          <w:tcPr>
            <w:tcW w:w="7513" w:type="dxa"/>
            <w:tcMar>
              <w:top w:w="15" w:type="dxa"/>
              <w:left w:w="15" w:type="dxa"/>
              <w:bottom w:w="0" w:type="dxa"/>
              <w:right w:w="15" w:type="dxa"/>
            </w:tcMar>
            <w:vAlign w:val="center"/>
          </w:tcPr>
          <w:p w14:paraId="446385C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产品存续期内不可提前赎回</w:t>
            </w:r>
          </w:p>
        </w:tc>
      </w:tr>
      <w:tr w14:paraId="6174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263" w:type="dxa"/>
            <w:tcMar>
              <w:top w:w="15" w:type="dxa"/>
              <w:left w:w="15" w:type="dxa"/>
              <w:bottom w:w="0" w:type="dxa"/>
              <w:right w:w="15" w:type="dxa"/>
            </w:tcMar>
            <w:vAlign w:val="center"/>
          </w:tcPr>
          <w:p w14:paraId="0ED8CC71">
            <w:pPr>
              <w:spacing w:line="360" w:lineRule="auto"/>
              <w:jc w:val="left"/>
              <w:rPr>
                <w:rFonts w:ascii="宋体" w:hAnsi="宋体" w:cs="宋体"/>
                <w:b/>
                <w:bCs/>
                <w:sz w:val="24"/>
                <w:szCs w:val="24"/>
              </w:rPr>
            </w:pPr>
            <w:r>
              <w:rPr>
                <w:rFonts w:hint="eastAsia" w:ascii="宋体" w:hAnsi="宋体" w:cs="宋体"/>
                <w:b/>
                <w:bCs/>
                <w:sz w:val="24"/>
                <w:szCs w:val="24"/>
              </w:rPr>
              <w:t>业绩比较基准</w:t>
            </w:r>
          </w:p>
        </w:tc>
        <w:tc>
          <w:tcPr>
            <w:tcW w:w="7513" w:type="dxa"/>
            <w:tcMar>
              <w:top w:w="15" w:type="dxa"/>
              <w:left w:w="15" w:type="dxa"/>
              <w:bottom w:w="0" w:type="dxa"/>
              <w:right w:w="15" w:type="dxa"/>
            </w:tcMar>
            <w:vAlign w:val="center"/>
          </w:tcPr>
          <w:p w14:paraId="3A99EF94">
            <w:pPr>
              <w:spacing w:line="360" w:lineRule="auto"/>
              <w:rPr>
                <w:rFonts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年化3</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06</w:t>
            </w:r>
            <w:r>
              <w:rPr>
                <w:rFonts w:asciiTheme="minorEastAsia" w:hAnsiTheme="minorEastAsia" w:eastAsiaTheme="minorEastAsia" w:cstheme="minorEastAsia"/>
                <w:sz w:val="24"/>
                <w:szCs w:val="24"/>
              </w:rPr>
              <w:t>-4.16%</w:t>
            </w:r>
          </w:p>
          <w:p w14:paraId="0F5690C7">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比较基准测算依据：本产品为固收类产品，根据产品信息说明书约定的投资范围直接或间接投向债券、同业存单、公募证券投资基金等类型资产，其中固定收益类资产占比不低于80%，权益类资产比例不高于20%，杠杆率不超过200%。根据拟投资产比例及收益水平、市场定价水平、过往经验等因素综合设定产品业绩比较基准。</w:t>
            </w:r>
          </w:p>
          <w:p w14:paraId="25A0A084">
            <w:pPr>
              <w:widowControl/>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业绩比较基准为设定的投资目标，不代表投资者可能获得的任何实际收益，亦不构成贵州银行对本理财产品的任何收益承诺。</w:t>
            </w:r>
          </w:p>
          <w:p w14:paraId="6E36F110">
            <w:pPr>
              <w:spacing w:line="360" w:lineRule="auto"/>
              <w:rPr>
                <w:rFonts w:asciiTheme="minorEastAsia" w:hAnsiTheme="minorEastAsia" w:eastAsiaTheme="minorEastAsia" w:cstheme="minorEastAsia"/>
                <w:sz w:val="24"/>
                <w:szCs w:val="24"/>
              </w:rPr>
            </w:pPr>
            <w:r>
              <w:rPr>
                <w:rFonts w:hint="eastAsia" w:ascii="黑体" w:hAnsi="黑体" w:eastAsia="黑体" w:cs="黑体"/>
                <w:color w:val="000000" w:themeColor="text1"/>
                <w:sz w:val="24"/>
                <w:szCs w:val="24"/>
                <w14:textFill>
                  <w14:solidFill>
                    <w14:schemeClr w14:val="tx1"/>
                  </w14:solidFill>
                </w14:textFill>
              </w:rPr>
              <w:t>理财产品过往业绩不代表其未来表现，不等于理财产品实际收益，理财非存款、产品有风险、投资须谨慎</w:t>
            </w:r>
            <w:r>
              <w:rPr>
                <w:rFonts w:hint="eastAsia" w:asciiTheme="minorEastAsia" w:hAnsiTheme="minorEastAsia" w:eastAsiaTheme="minorEastAsia" w:cstheme="minorEastAsia"/>
                <w:sz w:val="24"/>
                <w:szCs w:val="24"/>
              </w:rPr>
              <w:t>。</w:t>
            </w:r>
          </w:p>
        </w:tc>
      </w:tr>
      <w:tr w14:paraId="3CD5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2263" w:type="dxa"/>
            <w:tcMar>
              <w:top w:w="15" w:type="dxa"/>
              <w:left w:w="15" w:type="dxa"/>
              <w:bottom w:w="0" w:type="dxa"/>
              <w:right w:w="15" w:type="dxa"/>
            </w:tcMar>
            <w:vAlign w:val="center"/>
          </w:tcPr>
          <w:p w14:paraId="69883467">
            <w:pPr>
              <w:spacing w:line="360" w:lineRule="auto"/>
              <w:jc w:val="left"/>
              <w:rPr>
                <w:rFonts w:ascii="宋体" w:hAnsi="宋体" w:cs="宋体"/>
                <w:b/>
                <w:bCs/>
                <w:sz w:val="24"/>
                <w:szCs w:val="24"/>
              </w:rPr>
            </w:pPr>
            <w:r>
              <w:rPr>
                <w:rFonts w:hint="eastAsia" w:ascii="宋体" w:hAnsi="宋体" w:cs="宋体"/>
                <w:b/>
                <w:bCs/>
                <w:sz w:val="24"/>
                <w:szCs w:val="24"/>
              </w:rPr>
              <w:t>收益分配</w:t>
            </w:r>
          </w:p>
        </w:tc>
        <w:tc>
          <w:tcPr>
            <w:tcW w:w="7513" w:type="dxa"/>
            <w:tcMar>
              <w:top w:w="15" w:type="dxa"/>
              <w:left w:w="15" w:type="dxa"/>
              <w:bottom w:w="0" w:type="dxa"/>
              <w:right w:w="15" w:type="dxa"/>
            </w:tcMar>
            <w:vAlign w:val="center"/>
          </w:tcPr>
          <w:p w14:paraId="7CB4BEA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扣除本理财产品税费、托管费、第三方估值核算管理费、销售服务费、固定管理费、审计费、律师费、</w:t>
            </w:r>
            <w:r>
              <w:rPr>
                <w:rFonts w:hint="eastAsia" w:ascii="宋体" w:hAnsi="宋体" w:cs="宋体"/>
                <w:sz w:val="24"/>
                <w:szCs w:val="24"/>
              </w:rPr>
              <w:t>交易相关费</w:t>
            </w:r>
            <w:r>
              <w:rPr>
                <w:rFonts w:hint="eastAsia" w:ascii="宋体" w:hAnsi="宋体" w:cs="宋体"/>
                <w:color w:val="000000" w:themeColor="text1"/>
                <w:sz w:val="24"/>
                <w:szCs w:val="24"/>
                <w14:textFill>
                  <w14:solidFill>
                    <w14:schemeClr w14:val="tx1"/>
                  </w14:solidFill>
                </w14:textFill>
              </w:rPr>
              <w:t>用、利息支出</w:t>
            </w:r>
            <w:r>
              <w:rPr>
                <w:rFonts w:hint="eastAsia" w:ascii="宋体" w:hAnsi="宋体" w:cs="宋体"/>
                <w:sz w:val="24"/>
                <w:szCs w:val="24"/>
              </w:rPr>
              <w:t>以及应监管要求所发生的各项管理费等</w:t>
            </w:r>
            <w:r>
              <w:rPr>
                <w:rFonts w:hint="eastAsia" w:asciiTheme="minorEastAsia" w:hAnsiTheme="minorEastAsia" w:eastAsiaTheme="minorEastAsia" w:cstheme="minorEastAsia"/>
                <w:sz w:val="24"/>
                <w:szCs w:val="24"/>
              </w:rPr>
              <w:t>费用后，超出业绩比较基准部分的投资收益,投资者按以下原则获得超额业绩报酬：</w:t>
            </w:r>
          </w:p>
          <w:p w14:paraId="2446E36F">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N≤业绩比较基准下</w:t>
            </w:r>
            <w:r>
              <w:rPr>
                <w:rStyle w:val="12"/>
                <w:rFonts w:hint="eastAsia" w:asciiTheme="minorEastAsia" w:hAnsiTheme="minorEastAsia" w:eastAsiaTheme="minorEastAsia" w:cstheme="minorEastAsia"/>
                <w:b w:val="0"/>
                <w:sz w:val="24"/>
                <w:szCs w:val="24"/>
              </w:rPr>
              <w:t>限</w:t>
            </w:r>
            <w:r>
              <w:rPr>
                <w:rFonts w:hint="eastAsia" w:asciiTheme="minorEastAsia" w:hAnsiTheme="minorEastAsia" w:eastAsiaTheme="minorEastAsia" w:cstheme="minorEastAsia"/>
                <w:sz w:val="24"/>
                <w:szCs w:val="24"/>
              </w:rPr>
              <w:t>，无超额业绩报酬；</w:t>
            </w:r>
          </w:p>
          <w:p w14:paraId="60D12204">
            <w:pPr>
              <w:numPr>
                <w:ilvl w:val="0"/>
                <w:numId w:val="1"/>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N＞业绩比较基准下限，超出业绩比较基准下限部分的20%作为投资者超额业绩报酬，但投资者最终获得的年化收益率不得高于业绩比较基准上限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剩余归</w:t>
            </w:r>
            <w:r>
              <w:rPr>
                <w:rFonts w:hint="eastAsia" w:asciiTheme="minorEastAsia" w:hAnsiTheme="minorEastAsia" w:eastAsiaTheme="minorEastAsia" w:cstheme="minorEastAsia"/>
                <w:sz w:val="24"/>
                <w:szCs w:val="24"/>
                <w:lang w:val="en-US" w:eastAsia="zh-CN"/>
              </w:rPr>
              <w:t>产品</w:t>
            </w:r>
            <w:r>
              <w:rPr>
                <w:rFonts w:hint="eastAsia" w:asciiTheme="minorEastAsia" w:hAnsiTheme="minorEastAsia" w:eastAsiaTheme="minorEastAsia" w:cstheme="minorEastAsia"/>
                <w:sz w:val="24"/>
                <w:szCs w:val="24"/>
              </w:rPr>
              <w:t>管理人所有。</w:t>
            </w:r>
          </w:p>
          <w:p w14:paraId="3524DAE7">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其中，N为封闭期内产品实际净投资收益折算的年化收益率。</w:t>
            </w:r>
          </w:p>
        </w:tc>
      </w:tr>
      <w:tr w14:paraId="3F56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2263" w:type="dxa"/>
            <w:tcMar>
              <w:top w:w="15" w:type="dxa"/>
              <w:left w:w="15" w:type="dxa"/>
              <w:bottom w:w="0" w:type="dxa"/>
              <w:right w:w="15" w:type="dxa"/>
            </w:tcMar>
            <w:vAlign w:val="center"/>
          </w:tcPr>
          <w:p w14:paraId="10A8AF6C">
            <w:pPr>
              <w:spacing w:line="360" w:lineRule="auto"/>
              <w:jc w:val="left"/>
              <w:rPr>
                <w:rFonts w:ascii="宋体" w:hAnsi="宋体" w:cs="宋体"/>
                <w:b/>
                <w:bCs/>
                <w:sz w:val="24"/>
                <w:szCs w:val="24"/>
              </w:rPr>
            </w:pPr>
            <w:r>
              <w:rPr>
                <w:rFonts w:hint="eastAsia" w:ascii="宋体" w:hAnsi="宋体" w:cs="宋体"/>
                <w:b/>
                <w:bCs/>
                <w:sz w:val="24"/>
                <w:szCs w:val="24"/>
              </w:rPr>
              <w:t>产品期限</w:t>
            </w:r>
          </w:p>
        </w:tc>
        <w:tc>
          <w:tcPr>
            <w:tcW w:w="7513" w:type="dxa"/>
            <w:tcMar>
              <w:top w:w="15" w:type="dxa"/>
              <w:left w:w="15" w:type="dxa"/>
              <w:bottom w:w="0" w:type="dxa"/>
              <w:right w:w="15" w:type="dxa"/>
            </w:tcMar>
            <w:vAlign w:val="center"/>
          </w:tcPr>
          <w:p w14:paraId="25259E39">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100</w:t>
            </w:r>
            <w:r>
              <w:rPr>
                <w:rFonts w:hint="eastAsia" w:asciiTheme="minorEastAsia" w:hAnsiTheme="minorEastAsia" w:eastAsiaTheme="minorEastAsia" w:cstheme="minorEastAsia"/>
                <w:b/>
                <w:sz w:val="24"/>
                <w:szCs w:val="24"/>
              </w:rPr>
              <w:t>天</w:t>
            </w:r>
          </w:p>
          <w:p w14:paraId="00B3F84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在符合产品说明书约定的条件下，银行有权提前终止本产品。</w:t>
            </w:r>
          </w:p>
        </w:tc>
      </w:tr>
      <w:tr w14:paraId="79D3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63" w:type="dxa"/>
            <w:tcMar>
              <w:top w:w="15" w:type="dxa"/>
              <w:left w:w="15" w:type="dxa"/>
              <w:bottom w:w="0" w:type="dxa"/>
              <w:right w:w="15" w:type="dxa"/>
            </w:tcMar>
            <w:vAlign w:val="center"/>
          </w:tcPr>
          <w:p w14:paraId="6D318B89">
            <w:pPr>
              <w:spacing w:line="360" w:lineRule="auto"/>
              <w:jc w:val="left"/>
              <w:rPr>
                <w:rFonts w:hint="eastAsia" w:ascii="宋体" w:hAnsi="宋体" w:eastAsia="宋体" w:cs="宋体"/>
                <w:b/>
                <w:bCs/>
                <w:sz w:val="24"/>
                <w:szCs w:val="24"/>
                <w:lang w:eastAsia="zh-CN"/>
              </w:rPr>
            </w:pPr>
            <w:r>
              <w:rPr>
                <w:rFonts w:hint="eastAsia" w:ascii="宋体" w:hAnsi="宋体" w:cs="宋体"/>
                <w:b/>
                <w:bCs/>
                <w:sz w:val="24"/>
                <w:szCs w:val="24"/>
                <w:lang w:eastAsia="zh-CN"/>
              </w:rPr>
              <w:t>份额净值</w:t>
            </w:r>
          </w:p>
        </w:tc>
        <w:tc>
          <w:tcPr>
            <w:tcW w:w="7513" w:type="dxa"/>
            <w:tcMar>
              <w:top w:w="15" w:type="dxa"/>
              <w:left w:w="15" w:type="dxa"/>
              <w:bottom w:w="0" w:type="dxa"/>
              <w:right w:w="15" w:type="dxa"/>
            </w:tcMar>
            <w:vAlign w:val="center"/>
          </w:tcPr>
          <w:p w14:paraId="42E925C5">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认购期内产品</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为</w:t>
            </w:r>
            <w:r>
              <w:rPr>
                <w:rFonts w:asciiTheme="minorEastAsia" w:hAnsiTheme="minorEastAsia" w:eastAsiaTheme="minorEastAsia" w:cstheme="minorEastAsia"/>
                <w:sz w:val="24"/>
                <w:szCs w:val="24"/>
              </w:rPr>
              <w:t>1.0000元；</w:t>
            </w:r>
          </w:p>
          <w:p w14:paraId="5BDD16A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产品成立后产品管理人每个估值日对产品进行估值并计算产品</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按截位法保留到小数点后第四位。</w:t>
            </w:r>
          </w:p>
        </w:tc>
      </w:tr>
      <w:tr w14:paraId="7B4F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263" w:type="dxa"/>
            <w:tcMar>
              <w:top w:w="15" w:type="dxa"/>
              <w:left w:w="15" w:type="dxa"/>
              <w:bottom w:w="0" w:type="dxa"/>
              <w:right w:w="15" w:type="dxa"/>
            </w:tcMar>
            <w:vAlign w:val="center"/>
          </w:tcPr>
          <w:p w14:paraId="33BF6F3B">
            <w:pPr>
              <w:spacing w:line="360" w:lineRule="auto"/>
              <w:jc w:val="left"/>
              <w:rPr>
                <w:rFonts w:ascii="宋体" w:hAnsi="宋体" w:cs="宋体"/>
                <w:b/>
                <w:bCs/>
                <w:sz w:val="24"/>
                <w:szCs w:val="24"/>
              </w:rPr>
            </w:pPr>
            <w:r>
              <w:rPr>
                <w:rFonts w:hint="eastAsia" w:ascii="宋体" w:hAnsi="宋体" w:cs="宋体"/>
                <w:b/>
                <w:bCs/>
                <w:sz w:val="24"/>
                <w:szCs w:val="24"/>
              </w:rPr>
              <w:t>产品认购期</w:t>
            </w:r>
          </w:p>
        </w:tc>
        <w:tc>
          <w:tcPr>
            <w:tcW w:w="7513" w:type="dxa"/>
            <w:tcMar>
              <w:top w:w="15" w:type="dxa"/>
              <w:left w:w="15" w:type="dxa"/>
              <w:bottom w:w="0" w:type="dxa"/>
              <w:right w:w="15" w:type="dxa"/>
            </w:tcMar>
            <w:vAlign w:val="center"/>
          </w:tcPr>
          <w:p w14:paraId="37F72B72">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w:t>
            </w:r>
            <w:r>
              <w:rPr>
                <w:rFonts w:asciiTheme="minorEastAsia" w:hAnsiTheme="minorEastAsia" w:eastAsiaTheme="minorEastAsia" w:cstheme="minorEastAsia"/>
                <w:sz w:val="24"/>
                <w:szCs w:val="24"/>
              </w:rPr>
              <w:t>9:00</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日1</w:t>
            </w:r>
            <w:r>
              <w:rPr>
                <w:rFonts w:asciiTheme="minorEastAsia" w:hAnsiTheme="minorEastAsia" w:eastAsiaTheme="minorEastAsia" w:cstheme="minorEastAsia"/>
                <w:sz w:val="24"/>
                <w:szCs w:val="24"/>
              </w:rPr>
              <w:t>5:00</w:t>
            </w:r>
            <w:r>
              <w:rPr>
                <w:rFonts w:hint="eastAsia" w:asciiTheme="minorEastAsia" w:hAnsiTheme="minorEastAsia" w:eastAsiaTheme="minorEastAsia" w:cstheme="minorEastAsia"/>
                <w:sz w:val="24"/>
                <w:szCs w:val="24"/>
              </w:rPr>
              <w:t>。</w:t>
            </w:r>
          </w:p>
        </w:tc>
      </w:tr>
      <w:tr w14:paraId="0E44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2263" w:type="dxa"/>
            <w:tcMar>
              <w:top w:w="15" w:type="dxa"/>
              <w:left w:w="15" w:type="dxa"/>
              <w:bottom w:w="0" w:type="dxa"/>
              <w:right w:w="15" w:type="dxa"/>
            </w:tcMar>
            <w:vAlign w:val="center"/>
          </w:tcPr>
          <w:p w14:paraId="427950F3">
            <w:pPr>
              <w:spacing w:line="360" w:lineRule="auto"/>
              <w:jc w:val="left"/>
              <w:rPr>
                <w:rFonts w:ascii="宋体" w:hAnsi="宋体" w:cs="宋体"/>
                <w:b/>
                <w:bCs/>
                <w:sz w:val="24"/>
                <w:szCs w:val="24"/>
              </w:rPr>
            </w:pPr>
            <w:r>
              <w:rPr>
                <w:rFonts w:hint="eastAsia" w:ascii="宋体" w:hAnsi="宋体" w:cs="宋体"/>
                <w:b/>
                <w:bCs/>
                <w:sz w:val="24"/>
                <w:szCs w:val="24"/>
              </w:rPr>
              <w:t>产品成立日</w:t>
            </w:r>
          </w:p>
        </w:tc>
        <w:tc>
          <w:tcPr>
            <w:tcW w:w="7513" w:type="dxa"/>
            <w:tcMar>
              <w:top w:w="15" w:type="dxa"/>
              <w:left w:w="15" w:type="dxa"/>
              <w:bottom w:w="0" w:type="dxa"/>
              <w:right w:w="15" w:type="dxa"/>
            </w:tcMar>
            <w:vAlign w:val="center"/>
          </w:tcPr>
          <w:p w14:paraId="09B3915F">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2024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日，本产品完成募集发行，正式成立运作。</w:t>
            </w:r>
          </w:p>
        </w:tc>
      </w:tr>
      <w:tr w14:paraId="491E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2263" w:type="dxa"/>
            <w:tcMar>
              <w:top w:w="15" w:type="dxa"/>
              <w:left w:w="15" w:type="dxa"/>
              <w:bottom w:w="0" w:type="dxa"/>
              <w:right w:w="15" w:type="dxa"/>
            </w:tcMar>
            <w:vAlign w:val="center"/>
          </w:tcPr>
          <w:p w14:paraId="0B4BAC3D">
            <w:pPr>
              <w:spacing w:line="360" w:lineRule="auto"/>
              <w:jc w:val="left"/>
              <w:rPr>
                <w:rFonts w:ascii="宋体" w:hAnsi="宋体" w:cs="宋体"/>
                <w:b/>
                <w:bCs/>
                <w:sz w:val="24"/>
                <w:szCs w:val="24"/>
              </w:rPr>
            </w:pPr>
            <w:r>
              <w:rPr>
                <w:rFonts w:hint="eastAsia" w:ascii="宋体" w:hAnsi="宋体" w:cs="宋体"/>
                <w:b/>
                <w:bCs/>
                <w:sz w:val="24"/>
                <w:szCs w:val="24"/>
              </w:rPr>
              <w:t>产品到期日</w:t>
            </w:r>
          </w:p>
        </w:tc>
        <w:tc>
          <w:tcPr>
            <w:tcW w:w="7513" w:type="dxa"/>
            <w:tcMar>
              <w:top w:w="15" w:type="dxa"/>
              <w:left w:w="15" w:type="dxa"/>
              <w:bottom w:w="0" w:type="dxa"/>
              <w:right w:w="15" w:type="dxa"/>
            </w:tcMar>
            <w:vAlign w:val="center"/>
          </w:tcPr>
          <w:p w14:paraId="00A8F58D">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w:t>
            </w:r>
          </w:p>
          <w:p w14:paraId="722C2AE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如产品到期日调整，具体时间以贵州银行公布日期为准。</w:t>
            </w:r>
          </w:p>
        </w:tc>
      </w:tr>
      <w:tr w14:paraId="3B2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jc w:val="center"/>
        </w:trPr>
        <w:tc>
          <w:tcPr>
            <w:tcW w:w="2263" w:type="dxa"/>
            <w:tcMar>
              <w:top w:w="15" w:type="dxa"/>
              <w:left w:w="15" w:type="dxa"/>
              <w:bottom w:w="0" w:type="dxa"/>
              <w:right w:w="15" w:type="dxa"/>
            </w:tcMar>
            <w:vAlign w:val="center"/>
          </w:tcPr>
          <w:p w14:paraId="1AFCF0BB">
            <w:pPr>
              <w:spacing w:line="360" w:lineRule="auto"/>
              <w:jc w:val="left"/>
              <w:rPr>
                <w:rFonts w:ascii="宋体" w:hAnsi="宋体" w:cs="宋体"/>
                <w:b/>
                <w:bCs/>
                <w:sz w:val="24"/>
                <w:szCs w:val="24"/>
              </w:rPr>
            </w:pPr>
            <w:r>
              <w:rPr>
                <w:rFonts w:hint="eastAsia" w:ascii="宋体" w:hAnsi="宋体" w:cs="宋体"/>
                <w:b/>
                <w:bCs/>
                <w:sz w:val="24"/>
                <w:szCs w:val="24"/>
              </w:rPr>
              <w:t>投资者资金到账日</w:t>
            </w:r>
          </w:p>
        </w:tc>
        <w:tc>
          <w:tcPr>
            <w:tcW w:w="7513" w:type="dxa"/>
            <w:tcMar>
              <w:top w:w="15" w:type="dxa"/>
              <w:left w:w="15" w:type="dxa"/>
              <w:bottom w:w="0" w:type="dxa"/>
              <w:right w:w="15" w:type="dxa"/>
            </w:tcMar>
            <w:vAlign w:val="center"/>
          </w:tcPr>
          <w:p w14:paraId="5AC5B19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本产品到期日后3个工作日内</w:t>
            </w:r>
          </w:p>
        </w:tc>
      </w:tr>
      <w:tr w14:paraId="0E82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263" w:type="dxa"/>
            <w:tcMar>
              <w:top w:w="15" w:type="dxa"/>
              <w:left w:w="15" w:type="dxa"/>
              <w:bottom w:w="0" w:type="dxa"/>
              <w:right w:w="15" w:type="dxa"/>
            </w:tcMar>
            <w:vAlign w:val="center"/>
          </w:tcPr>
          <w:p w14:paraId="325AEB27">
            <w:pPr>
              <w:spacing w:line="360" w:lineRule="auto"/>
              <w:jc w:val="left"/>
              <w:rPr>
                <w:rFonts w:ascii="宋体" w:hAnsi="宋体" w:cs="宋体"/>
                <w:b/>
                <w:bCs/>
                <w:sz w:val="24"/>
                <w:szCs w:val="24"/>
              </w:rPr>
            </w:pPr>
            <w:r>
              <w:rPr>
                <w:rFonts w:hint="eastAsia" w:ascii="宋体" w:hAnsi="宋体" w:cs="宋体"/>
                <w:b/>
                <w:bCs/>
                <w:sz w:val="24"/>
                <w:szCs w:val="24"/>
              </w:rPr>
              <w:t>产品认购</w:t>
            </w:r>
          </w:p>
        </w:tc>
        <w:tc>
          <w:tcPr>
            <w:tcW w:w="7513" w:type="dxa"/>
            <w:tcMar>
              <w:top w:w="15" w:type="dxa"/>
              <w:left w:w="15" w:type="dxa"/>
              <w:bottom w:w="0" w:type="dxa"/>
              <w:right w:w="15" w:type="dxa"/>
            </w:tcMar>
            <w:vAlign w:val="center"/>
          </w:tcPr>
          <w:p w14:paraId="2E3CA80C">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认购期内实时冻结认购资金，产品成立日扣划资金，并按</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1.0000确认份额。</w:t>
            </w:r>
          </w:p>
        </w:tc>
      </w:tr>
      <w:tr w14:paraId="0E1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2263" w:type="dxa"/>
            <w:tcMar>
              <w:top w:w="15" w:type="dxa"/>
              <w:left w:w="15" w:type="dxa"/>
              <w:bottom w:w="0" w:type="dxa"/>
              <w:right w:w="15" w:type="dxa"/>
            </w:tcMar>
            <w:vAlign w:val="center"/>
          </w:tcPr>
          <w:p w14:paraId="5EEBB565">
            <w:pPr>
              <w:spacing w:line="360" w:lineRule="auto"/>
              <w:jc w:val="left"/>
              <w:rPr>
                <w:rFonts w:ascii="宋体" w:hAnsi="宋体" w:cs="宋体"/>
                <w:b/>
                <w:bCs/>
                <w:sz w:val="24"/>
                <w:szCs w:val="24"/>
              </w:rPr>
            </w:pPr>
            <w:r>
              <w:rPr>
                <w:rFonts w:hint="eastAsia" w:ascii="宋体" w:hAnsi="宋体" w:cs="宋体"/>
                <w:b/>
                <w:bCs/>
                <w:sz w:val="24"/>
                <w:szCs w:val="24"/>
              </w:rPr>
              <w:t>认购撤单</w:t>
            </w:r>
          </w:p>
        </w:tc>
        <w:tc>
          <w:tcPr>
            <w:tcW w:w="7513" w:type="dxa"/>
            <w:tcMar>
              <w:top w:w="15" w:type="dxa"/>
              <w:left w:w="15" w:type="dxa"/>
              <w:bottom w:w="0" w:type="dxa"/>
              <w:right w:w="15" w:type="dxa"/>
            </w:tcMar>
            <w:vAlign w:val="center"/>
          </w:tcPr>
          <w:p w14:paraId="39036D2D">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认购期内（最后一日除外），投资者可以在贵州银行营业网点和电子渠道撤单；认购期最后一日</w:t>
            </w:r>
            <w:r>
              <w:rPr>
                <w:rFonts w:ascii="宋体" w:hAnsi="宋体" w:cs="宋体"/>
                <w:color w:val="000000" w:themeColor="text1"/>
                <w:sz w:val="24"/>
                <w:szCs w:val="24"/>
                <w14:textFill>
                  <w14:solidFill>
                    <w14:schemeClr w14:val="tx1"/>
                  </w14:solidFill>
                </w14:textFill>
              </w:rPr>
              <w:t>0:00至15:00不可撤单</w:t>
            </w:r>
            <w:r>
              <w:rPr>
                <w:rFonts w:hint="eastAsia" w:ascii="宋体" w:hAnsi="宋体" w:cs="宋体"/>
                <w:color w:val="000000" w:themeColor="text1"/>
                <w:sz w:val="24"/>
                <w:szCs w:val="24"/>
                <w14:textFill>
                  <w14:solidFill>
                    <w14:schemeClr w14:val="tx1"/>
                  </w14:solidFill>
                </w14:textFill>
              </w:rPr>
              <w:t>。</w:t>
            </w:r>
          </w:p>
        </w:tc>
      </w:tr>
      <w:tr w14:paraId="0099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2263" w:type="dxa"/>
            <w:tcMar>
              <w:top w:w="15" w:type="dxa"/>
              <w:left w:w="15" w:type="dxa"/>
              <w:bottom w:w="0" w:type="dxa"/>
              <w:right w:w="15" w:type="dxa"/>
            </w:tcMar>
            <w:vAlign w:val="center"/>
          </w:tcPr>
          <w:p w14:paraId="467D0C88">
            <w:pPr>
              <w:spacing w:line="360" w:lineRule="auto"/>
              <w:jc w:val="left"/>
              <w:rPr>
                <w:rFonts w:ascii="宋体" w:hAnsi="宋体" w:cs="宋体"/>
                <w:b/>
                <w:bCs/>
                <w:sz w:val="24"/>
                <w:szCs w:val="24"/>
              </w:rPr>
            </w:pPr>
            <w:r>
              <w:rPr>
                <w:rFonts w:hint="eastAsia" w:ascii="宋体" w:hAnsi="宋体" w:cs="宋体"/>
                <w:b/>
                <w:bCs/>
                <w:sz w:val="24"/>
                <w:szCs w:val="24"/>
              </w:rPr>
              <w:t>认购起点金额</w:t>
            </w:r>
          </w:p>
        </w:tc>
        <w:tc>
          <w:tcPr>
            <w:tcW w:w="7513" w:type="dxa"/>
            <w:tcMar>
              <w:top w:w="15" w:type="dxa"/>
              <w:left w:w="15" w:type="dxa"/>
              <w:bottom w:w="0" w:type="dxa"/>
              <w:right w:w="15" w:type="dxa"/>
            </w:tcMar>
            <w:vAlign w:val="center"/>
          </w:tcPr>
          <w:p w14:paraId="60639CC2">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起购金额</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万元，以1万元的整数倍递增。</w:t>
            </w:r>
          </w:p>
        </w:tc>
      </w:tr>
      <w:tr w14:paraId="5A72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263" w:type="dxa"/>
            <w:tcBorders>
              <w:left w:val="single" w:color="auto" w:sz="4" w:space="0"/>
            </w:tcBorders>
            <w:tcMar>
              <w:top w:w="15" w:type="dxa"/>
              <w:left w:w="15" w:type="dxa"/>
              <w:bottom w:w="0" w:type="dxa"/>
              <w:right w:w="15" w:type="dxa"/>
            </w:tcMar>
            <w:vAlign w:val="center"/>
          </w:tcPr>
          <w:p w14:paraId="651B4825">
            <w:pPr>
              <w:spacing w:line="360" w:lineRule="auto"/>
              <w:jc w:val="left"/>
              <w:rPr>
                <w:rFonts w:ascii="宋体" w:hAnsi="宋体" w:cs="宋体"/>
                <w:b/>
                <w:bCs/>
                <w:sz w:val="24"/>
                <w:szCs w:val="24"/>
              </w:rPr>
            </w:pPr>
            <w:r>
              <w:rPr>
                <w:rFonts w:hint="eastAsia" w:ascii="宋体" w:hAnsi="宋体" w:cs="宋体"/>
                <w:b/>
                <w:bCs/>
                <w:sz w:val="24"/>
                <w:szCs w:val="24"/>
              </w:rPr>
              <w:t>费率</w:t>
            </w:r>
          </w:p>
        </w:tc>
        <w:tc>
          <w:tcPr>
            <w:tcW w:w="7513" w:type="dxa"/>
            <w:tcMar>
              <w:top w:w="15" w:type="dxa"/>
              <w:left w:w="15" w:type="dxa"/>
              <w:bottom w:w="0" w:type="dxa"/>
              <w:right w:w="15" w:type="dxa"/>
            </w:tcMar>
            <w:vAlign w:val="center"/>
          </w:tcPr>
          <w:p w14:paraId="2DB89016">
            <w:pPr>
              <w:spacing w:line="360" w:lineRule="auto"/>
              <w:rPr>
                <w:rFonts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托管费</w:t>
            </w:r>
            <w:r>
              <w:rPr>
                <w:rFonts w:asciiTheme="minorEastAsia" w:hAnsiTheme="minorEastAsia" w:eastAsiaTheme="minorEastAsia" w:cstheme="minorEastAsia"/>
                <w:b/>
                <w:bCs/>
                <w:sz w:val="24"/>
                <w:szCs w:val="24"/>
                <w:u w:val="none"/>
              </w:rPr>
              <w:t>0.01</w:t>
            </w:r>
            <w:r>
              <w:rPr>
                <w:rFonts w:hint="eastAsia" w:asciiTheme="minorEastAsia" w:hAnsiTheme="minorEastAsia" w:eastAsiaTheme="minorEastAsia" w:cstheme="minorEastAsia"/>
                <w:b/>
                <w:bCs/>
                <w:sz w:val="24"/>
                <w:szCs w:val="24"/>
                <w:u w:val="none"/>
              </w:rPr>
              <w:t>%、固定管理费</w:t>
            </w:r>
            <w:r>
              <w:rPr>
                <w:rFonts w:asciiTheme="minorEastAsia" w:hAnsiTheme="minorEastAsia" w:eastAsiaTheme="minorEastAsia" w:cstheme="minorEastAsia"/>
                <w:b/>
                <w:bCs/>
                <w:sz w:val="24"/>
                <w:szCs w:val="24"/>
                <w:u w:val="none"/>
              </w:rPr>
              <w:t>0.3</w:t>
            </w:r>
            <w:r>
              <w:rPr>
                <w:rFonts w:hint="eastAsia" w:asciiTheme="minorEastAsia" w:hAnsiTheme="minorEastAsia" w:eastAsiaTheme="minorEastAsia" w:cstheme="minorEastAsia"/>
                <w:b/>
                <w:bCs/>
                <w:sz w:val="24"/>
                <w:szCs w:val="24"/>
                <w:u w:val="none"/>
              </w:rPr>
              <w:t>0%。</w:t>
            </w:r>
          </w:p>
          <w:p w14:paraId="30393C5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以上费率均为年化费率，管理人有权根据产品业绩表现决定少收或不收管理费。</w:t>
            </w:r>
          </w:p>
          <w:p w14:paraId="3475FD2B">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暂不收取认购费、赎回费。</w:t>
            </w:r>
          </w:p>
          <w:p w14:paraId="65FBA371">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其他费用：产品税费、交易费用、第三方估值核算管理费、销售服务费、审计费、律师费等相关费用以及应监管要求所发生的各项管理费用，以实际发生为准。</w:t>
            </w:r>
          </w:p>
        </w:tc>
      </w:tr>
      <w:tr w14:paraId="4474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263" w:type="dxa"/>
            <w:tcBorders>
              <w:left w:val="single" w:color="auto" w:sz="4" w:space="0"/>
            </w:tcBorders>
            <w:tcMar>
              <w:top w:w="15" w:type="dxa"/>
              <w:left w:w="15" w:type="dxa"/>
              <w:bottom w:w="0" w:type="dxa"/>
              <w:right w:w="15" w:type="dxa"/>
            </w:tcMar>
            <w:vAlign w:val="center"/>
          </w:tcPr>
          <w:p w14:paraId="6195B4FF">
            <w:pPr>
              <w:spacing w:line="360" w:lineRule="auto"/>
              <w:jc w:val="left"/>
              <w:rPr>
                <w:rFonts w:ascii="宋体" w:hAnsi="宋体" w:cs="宋体"/>
                <w:b/>
                <w:bCs/>
                <w:sz w:val="24"/>
                <w:szCs w:val="24"/>
              </w:rPr>
            </w:pPr>
            <w:r>
              <w:rPr>
                <w:rFonts w:hint="eastAsia" w:ascii="宋体" w:hAnsi="宋体" w:cs="宋体"/>
                <w:b/>
                <w:bCs/>
                <w:sz w:val="24"/>
                <w:szCs w:val="24"/>
              </w:rPr>
              <w:t>单一投资者持有份额</w:t>
            </w:r>
          </w:p>
        </w:tc>
        <w:tc>
          <w:tcPr>
            <w:tcW w:w="7513" w:type="dxa"/>
            <w:tcMar>
              <w:top w:w="15" w:type="dxa"/>
              <w:left w:w="15" w:type="dxa"/>
              <w:bottom w:w="0" w:type="dxa"/>
              <w:right w:w="15" w:type="dxa"/>
            </w:tcMar>
            <w:vAlign w:val="center"/>
          </w:tcPr>
          <w:p w14:paraId="32E39F23">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单一投资者持有产品份额不得超过产品总份额的50%。</w:t>
            </w:r>
          </w:p>
        </w:tc>
      </w:tr>
      <w:tr w14:paraId="3AAA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jc w:val="center"/>
        </w:trPr>
        <w:tc>
          <w:tcPr>
            <w:tcW w:w="2263" w:type="dxa"/>
            <w:tcBorders>
              <w:left w:val="single" w:color="auto" w:sz="4" w:space="0"/>
            </w:tcBorders>
            <w:tcMar>
              <w:top w:w="15" w:type="dxa"/>
              <w:left w:w="15" w:type="dxa"/>
              <w:bottom w:w="0" w:type="dxa"/>
              <w:right w:w="15" w:type="dxa"/>
            </w:tcMar>
            <w:vAlign w:val="center"/>
          </w:tcPr>
          <w:p w14:paraId="06A75759">
            <w:pPr>
              <w:spacing w:line="360" w:lineRule="auto"/>
              <w:jc w:val="left"/>
              <w:rPr>
                <w:rFonts w:ascii="宋体" w:hAnsi="宋体" w:cs="宋体"/>
                <w:b/>
                <w:bCs/>
                <w:sz w:val="24"/>
                <w:szCs w:val="24"/>
              </w:rPr>
            </w:pPr>
            <w:r>
              <w:rPr>
                <w:rFonts w:hint="eastAsia" w:ascii="宋体" w:hAnsi="宋体" w:cs="宋体"/>
                <w:b/>
                <w:bCs/>
                <w:sz w:val="24"/>
                <w:szCs w:val="24"/>
              </w:rPr>
              <w:t>销售渠道</w:t>
            </w:r>
          </w:p>
        </w:tc>
        <w:tc>
          <w:tcPr>
            <w:tcW w:w="7513" w:type="dxa"/>
            <w:tcMar>
              <w:top w:w="15" w:type="dxa"/>
              <w:left w:w="15" w:type="dxa"/>
              <w:bottom w:w="0" w:type="dxa"/>
              <w:right w:w="15" w:type="dxa"/>
            </w:tcMar>
            <w:vAlign w:val="center"/>
          </w:tcPr>
          <w:p w14:paraId="1E8DCF47">
            <w:pPr>
              <w:spacing w:line="360" w:lineRule="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营业网点、电子渠道</w:t>
            </w:r>
          </w:p>
        </w:tc>
      </w:tr>
      <w:tr w14:paraId="0D4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263" w:type="dxa"/>
            <w:tcBorders>
              <w:left w:val="single" w:color="auto" w:sz="4" w:space="0"/>
            </w:tcBorders>
            <w:tcMar>
              <w:top w:w="15" w:type="dxa"/>
              <w:left w:w="15" w:type="dxa"/>
              <w:bottom w:w="0" w:type="dxa"/>
              <w:right w:w="15" w:type="dxa"/>
            </w:tcMar>
            <w:vAlign w:val="center"/>
          </w:tcPr>
          <w:p w14:paraId="35EE19F5">
            <w:pPr>
              <w:spacing w:line="360" w:lineRule="auto"/>
              <w:jc w:val="left"/>
              <w:rPr>
                <w:rFonts w:ascii="宋体" w:hAnsi="宋体" w:cs="宋体"/>
                <w:b/>
                <w:bCs/>
                <w:sz w:val="24"/>
                <w:szCs w:val="24"/>
              </w:rPr>
            </w:pPr>
            <w:r>
              <w:rPr>
                <w:rFonts w:hint="eastAsia" w:ascii="宋体" w:hAnsi="宋体" w:cs="宋体"/>
                <w:b/>
                <w:bCs/>
                <w:sz w:val="24"/>
                <w:szCs w:val="24"/>
              </w:rPr>
              <w:t>销售区域</w:t>
            </w:r>
          </w:p>
        </w:tc>
        <w:tc>
          <w:tcPr>
            <w:tcW w:w="7513" w:type="dxa"/>
            <w:tcMar>
              <w:top w:w="15" w:type="dxa"/>
              <w:left w:w="15" w:type="dxa"/>
              <w:bottom w:w="0" w:type="dxa"/>
              <w:right w:w="15" w:type="dxa"/>
            </w:tcMar>
            <w:vAlign w:val="center"/>
          </w:tcPr>
          <w:p w14:paraId="77F1C9A4">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贵州省</w:t>
            </w:r>
          </w:p>
        </w:tc>
      </w:tr>
      <w:tr w14:paraId="5306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2263" w:type="dxa"/>
            <w:tcBorders>
              <w:left w:val="single" w:color="auto" w:sz="4" w:space="0"/>
            </w:tcBorders>
            <w:tcMar>
              <w:top w:w="15" w:type="dxa"/>
              <w:left w:w="15" w:type="dxa"/>
              <w:bottom w:w="0" w:type="dxa"/>
              <w:right w:w="15" w:type="dxa"/>
            </w:tcMar>
            <w:vAlign w:val="center"/>
          </w:tcPr>
          <w:p w14:paraId="0D81B944">
            <w:pPr>
              <w:spacing w:line="360" w:lineRule="auto"/>
              <w:jc w:val="left"/>
              <w:rPr>
                <w:rFonts w:ascii="宋体" w:hAnsi="宋体" w:cs="宋体"/>
                <w:b/>
                <w:bCs/>
                <w:sz w:val="24"/>
                <w:szCs w:val="24"/>
              </w:rPr>
            </w:pPr>
            <w:r>
              <w:rPr>
                <w:rFonts w:hint="eastAsia" w:ascii="宋体" w:hAnsi="宋体" w:cs="宋体"/>
                <w:b/>
                <w:bCs/>
                <w:sz w:val="24"/>
                <w:szCs w:val="24"/>
              </w:rPr>
              <w:t>产品成立</w:t>
            </w:r>
          </w:p>
        </w:tc>
        <w:tc>
          <w:tcPr>
            <w:tcW w:w="7513" w:type="dxa"/>
            <w:tcMar>
              <w:top w:w="15" w:type="dxa"/>
              <w:left w:w="15" w:type="dxa"/>
              <w:bottom w:w="0" w:type="dxa"/>
              <w:right w:w="15" w:type="dxa"/>
            </w:tcMar>
            <w:vAlign w:val="center"/>
          </w:tcPr>
          <w:p w14:paraId="61B3E498">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为保护投资者权益，产品管理费可根据市场变化缩短或延长募集期并提前或推迟成立；产品最终规模以实际募集规模为准。</w:t>
            </w:r>
          </w:p>
          <w:p w14:paraId="0E9D334D">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如产品募集规模低于</w:t>
            </w:r>
            <w:r>
              <w:rPr>
                <w:rFonts w:asciiTheme="minorEastAsia" w:hAnsiTheme="minorEastAsia" w:eastAsiaTheme="minorEastAsia" w:cstheme="minorEastAsia"/>
                <w:sz w:val="24"/>
                <w:szCs w:val="24"/>
              </w:rPr>
              <w:t>2000</w:t>
            </w:r>
            <w:r>
              <w:rPr>
                <w:rFonts w:hint="eastAsia" w:asciiTheme="minorEastAsia" w:hAnsiTheme="minorEastAsia" w:eastAsiaTheme="minorEastAsia" w:cstheme="minorEastAsia"/>
                <w:sz w:val="24"/>
                <w:szCs w:val="24"/>
              </w:rPr>
              <w:t>万元或投资底层资产发生重大变化，导致不能继续投资的，产品管理人可宣布本产品不成立并在原定成立日后3个工作日内将投资者理财本金划转至投资者账户，原定成立日至到账日之间投资者资金不计息。</w:t>
            </w:r>
          </w:p>
        </w:tc>
      </w:tr>
      <w:tr w14:paraId="5E52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2263" w:type="dxa"/>
            <w:tcMar>
              <w:top w:w="15" w:type="dxa"/>
              <w:left w:w="15" w:type="dxa"/>
              <w:bottom w:w="0" w:type="dxa"/>
              <w:right w:w="15" w:type="dxa"/>
            </w:tcMar>
            <w:vAlign w:val="center"/>
          </w:tcPr>
          <w:p w14:paraId="7EF973B0">
            <w:pPr>
              <w:spacing w:line="360" w:lineRule="auto"/>
              <w:jc w:val="left"/>
              <w:rPr>
                <w:rFonts w:ascii="宋体" w:hAnsi="宋体" w:cs="宋体"/>
                <w:b/>
                <w:bCs/>
                <w:sz w:val="24"/>
                <w:szCs w:val="24"/>
              </w:rPr>
            </w:pPr>
            <w:r>
              <w:rPr>
                <w:rFonts w:hint="eastAsia" w:ascii="宋体" w:hAnsi="宋体" w:cs="宋体"/>
                <w:b/>
                <w:bCs/>
                <w:sz w:val="24"/>
                <w:szCs w:val="24"/>
              </w:rPr>
              <w:t>提前终止权</w:t>
            </w:r>
          </w:p>
        </w:tc>
        <w:tc>
          <w:tcPr>
            <w:tcW w:w="7513" w:type="dxa"/>
            <w:tcMar>
              <w:top w:w="15" w:type="dxa"/>
              <w:left w:w="15" w:type="dxa"/>
              <w:bottom w:w="0" w:type="dxa"/>
              <w:right w:w="15" w:type="dxa"/>
            </w:tcMar>
            <w:vAlign w:val="center"/>
          </w:tcPr>
          <w:p w14:paraId="2BE22426">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在出现下列情形之一时，产品管理人可提前终止理财产品，并提前3个工作日通过贵州银行官方信息披露途径进行公告通知：</w:t>
            </w:r>
          </w:p>
          <w:p w14:paraId="2560FE70">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因不可抗力原因导致理财产品无法继续运作；</w:t>
            </w:r>
          </w:p>
          <w:p w14:paraId="710A80B8">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遇有市场剧烈波动、异常风险事件等情形导致理财产品净值出现大幅波动或严重影响理财产品的资产安全； </w:t>
            </w:r>
          </w:p>
          <w:p w14:paraId="13A5A115">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理财产品剩余资产无法满足相关法律法规规定、所投资市场要求或协议等相关法律文件约定，或者继续存续无法实现投资目标；</w:t>
            </w:r>
          </w:p>
          <w:p w14:paraId="5BDB7425">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所投资资产部分或全部提前偿付；</w:t>
            </w:r>
          </w:p>
          <w:p w14:paraId="1D46244A">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因相关投资管理机构解散、破产、撤销、被取消业务资格等原因无法继续履行相应职责导致产品无法继续运作；</w:t>
            </w:r>
          </w:p>
          <w:p w14:paraId="3E468CAE">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相关投资管理机构或运用理财资金的理财投资合作机构实施符合法律法规规定或协议等相关法律文件约定的行为导致理财产品被动提前终止；</w:t>
            </w:r>
          </w:p>
          <w:p w14:paraId="66A0AE53">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因法律法规变化或国家金融政策调整、紧急措施出台影响产品继续正常运作；</w:t>
            </w:r>
          </w:p>
          <w:p w14:paraId="4B1E4EBC">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为保护客户利益，产品管理人可根据市场及投资运作情况提前终止本产品；</w:t>
            </w:r>
          </w:p>
          <w:p w14:paraId="22C27A0E">
            <w:pPr>
              <w:numPr>
                <w:ilvl w:val="0"/>
                <w:numId w:val="2"/>
              </w:num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法律法规规定或监管部门认定的其他情形。</w:t>
            </w:r>
          </w:p>
        </w:tc>
      </w:tr>
      <w:tr w14:paraId="16BF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jc w:val="center"/>
        </w:trPr>
        <w:tc>
          <w:tcPr>
            <w:tcW w:w="2263" w:type="dxa"/>
            <w:tcMar>
              <w:top w:w="15" w:type="dxa"/>
              <w:left w:w="15" w:type="dxa"/>
              <w:bottom w:w="0" w:type="dxa"/>
              <w:right w:w="15" w:type="dxa"/>
            </w:tcMar>
            <w:vAlign w:val="center"/>
          </w:tcPr>
          <w:p w14:paraId="74F71F8D">
            <w:pPr>
              <w:jc w:val="left"/>
              <w:rPr>
                <w:rFonts w:ascii="宋体" w:hAnsi="宋体" w:cs="宋体"/>
                <w:b/>
                <w:bCs/>
                <w:sz w:val="24"/>
                <w:szCs w:val="24"/>
              </w:rPr>
            </w:pPr>
            <w:r>
              <w:rPr>
                <w:rFonts w:hint="eastAsia" w:ascii="宋体" w:hAnsi="宋体" w:cs="宋体"/>
                <w:b/>
                <w:bCs/>
                <w:sz w:val="24"/>
                <w:szCs w:val="24"/>
              </w:rPr>
              <w:t>税收问题</w:t>
            </w:r>
          </w:p>
        </w:tc>
        <w:tc>
          <w:tcPr>
            <w:tcW w:w="7513" w:type="dxa"/>
            <w:tcMar>
              <w:top w:w="15" w:type="dxa"/>
              <w:left w:w="15" w:type="dxa"/>
              <w:bottom w:w="0" w:type="dxa"/>
              <w:right w:w="15" w:type="dxa"/>
            </w:tcMar>
            <w:vAlign w:val="center"/>
          </w:tcPr>
          <w:p w14:paraId="4EB9A430">
            <w:pPr>
              <w:numPr>
                <w:ilvl w:val="0"/>
                <w:numId w:val="3"/>
              </w:numPr>
              <w:spacing w:line="360" w:lineRule="auto"/>
              <w:rPr>
                <w:rFonts w:ascii="宋体" w:hAnsi="宋体" w:cs="宋体"/>
                <w:sz w:val="24"/>
                <w:szCs w:val="24"/>
              </w:rPr>
            </w:pPr>
            <w:r>
              <w:rPr>
                <w:rFonts w:hint="eastAsia" w:ascii="宋体" w:hAnsi="宋体" w:cs="宋体"/>
                <w:sz w:val="24"/>
                <w:szCs w:val="24"/>
              </w:rPr>
              <w:t>根据财政部、国家税务总局相关税收监管政策的规定，理财产品运营过程中发生的增值税应税行为，以理财产品管理人为增值税纳税人，计算、申报并缴纳增值税及附加税费（包括但不限于城市维护建设税、教育费附加及地方教育附加等）。</w:t>
            </w:r>
          </w:p>
          <w:p w14:paraId="5F836E00">
            <w:pPr>
              <w:spacing w:line="360" w:lineRule="auto"/>
              <w:rPr>
                <w:rFonts w:ascii="宋体" w:hAnsi="宋体" w:cs="宋体"/>
                <w:sz w:val="24"/>
                <w:szCs w:val="24"/>
              </w:rPr>
            </w:pPr>
            <w:r>
              <w:rPr>
                <w:rFonts w:hint="eastAsia" w:ascii="宋体" w:hAnsi="宋体" w:cs="宋体"/>
                <w:sz w:val="24"/>
                <w:szCs w:val="24"/>
              </w:rPr>
              <w:t>2.本理财产品的实际收益为扣除增值税及附加税等税费后的收益。</w:t>
            </w:r>
          </w:p>
          <w:p w14:paraId="01CB7822">
            <w:pPr>
              <w:spacing w:line="360" w:lineRule="auto"/>
              <w:rPr>
                <w:rFonts w:asciiTheme="minorEastAsia" w:hAnsiTheme="minorEastAsia" w:eastAsiaTheme="minorEastAsia" w:cstheme="minorEastAsia"/>
                <w:sz w:val="24"/>
                <w:szCs w:val="24"/>
              </w:rPr>
            </w:pPr>
            <w:r>
              <w:rPr>
                <w:rFonts w:hint="eastAsia" w:ascii="宋体" w:hAnsi="宋体" w:cs="宋体"/>
                <w:sz w:val="24"/>
                <w:szCs w:val="24"/>
              </w:rPr>
              <w:t>3.产品管理人暂不负责代扣代缴客户购买本产品所得收益应缴纳的各项税款。后续若相关法律法规、税收政策规定产品管理人应代扣代缴相关税款，产品管理人有权依法履行代扣代缴义务。</w:t>
            </w:r>
          </w:p>
        </w:tc>
      </w:tr>
    </w:tbl>
    <w:p w14:paraId="2366D222">
      <w:pPr>
        <w:numPr>
          <w:ilvl w:val="0"/>
          <w:numId w:val="4"/>
        </w:numPr>
        <w:spacing w:line="360" w:lineRule="auto"/>
        <w:ind w:firstLine="480" w:firstLineChars="200"/>
        <w:outlineLvl w:val="0"/>
        <w:rPr>
          <w:rFonts w:ascii="黑体" w:hAnsi="黑体" w:eastAsia="黑体" w:cs="黑体"/>
          <w:b/>
          <w:bCs/>
          <w:sz w:val="24"/>
          <w:szCs w:val="24"/>
        </w:rPr>
      </w:pPr>
      <w:r>
        <w:rPr>
          <w:rStyle w:val="12"/>
          <w:rFonts w:ascii="黑体" w:hAnsi="黑体" w:eastAsia="黑体" w:cs="黑体"/>
          <w:b w:val="0"/>
          <w:bCs w:val="0"/>
          <w:sz w:val="24"/>
          <w:szCs w:val="24"/>
        </w:rPr>
        <w:t xml:space="preserve"> </w:t>
      </w:r>
      <w:r>
        <w:rPr>
          <w:rFonts w:hint="eastAsia" w:ascii="黑体" w:hAnsi="黑体" w:eastAsia="黑体" w:cs="黑体"/>
          <w:b/>
          <w:sz w:val="24"/>
          <w:szCs w:val="24"/>
        </w:rPr>
        <w:t>内部风险评级</w:t>
      </w:r>
      <w:r>
        <w:rPr>
          <w:rFonts w:hint="eastAsia" w:ascii="黑体" w:hAnsi="黑体" w:eastAsia="黑体" w:cs="黑体"/>
          <w:b/>
          <w:bCs/>
          <w:sz w:val="24"/>
          <w:szCs w:val="24"/>
        </w:rPr>
        <w:t>：</w:t>
      </w:r>
    </w:p>
    <w:tbl>
      <w:tblPr>
        <w:tblStyle w:val="10"/>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227"/>
        <w:gridCol w:w="3976"/>
      </w:tblGrid>
      <w:tr w14:paraId="3793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tcBorders>
              <w:top w:val="single" w:color="auto" w:sz="4" w:space="0"/>
              <w:left w:val="single" w:color="auto" w:sz="4" w:space="0"/>
              <w:bottom w:val="single" w:color="auto" w:sz="4" w:space="0"/>
              <w:right w:val="single" w:color="auto" w:sz="4" w:space="0"/>
            </w:tcBorders>
            <w:vAlign w:val="center"/>
          </w:tcPr>
          <w:p w14:paraId="4DA435B2">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产品风险评级</w:t>
            </w:r>
          </w:p>
        </w:tc>
        <w:tc>
          <w:tcPr>
            <w:tcW w:w="1227" w:type="dxa"/>
            <w:tcBorders>
              <w:top w:val="single" w:color="auto" w:sz="4" w:space="0"/>
              <w:left w:val="single" w:color="auto" w:sz="4" w:space="0"/>
              <w:bottom w:val="single" w:color="auto" w:sz="4" w:space="0"/>
              <w:right w:val="single" w:color="auto" w:sz="4" w:space="0"/>
            </w:tcBorders>
            <w:vAlign w:val="center"/>
          </w:tcPr>
          <w:p w14:paraId="0B23518A">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风险程度</w:t>
            </w:r>
          </w:p>
        </w:tc>
        <w:tc>
          <w:tcPr>
            <w:tcW w:w="3976" w:type="dxa"/>
            <w:tcBorders>
              <w:top w:val="single" w:color="auto" w:sz="4" w:space="0"/>
              <w:left w:val="single" w:color="auto" w:sz="4" w:space="0"/>
              <w:bottom w:val="single" w:color="auto" w:sz="4" w:space="0"/>
              <w:right w:val="single" w:color="auto" w:sz="4" w:space="0"/>
            </w:tcBorders>
          </w:tcPr>
          <w:p w14:paraId="5D684C6B">
            <w:pPr>
              <w:spacing w:line="360" w:lineRule="auto"/>
              <w:jc w:val="center"/>
              <w:rPr>
                <w:rFonts w:ascii="黑体" w:hAnsi="黑体" w:eastAsia="黑体" w:cs="黑体"/>
                <w:b/>
                <w:bCs/>
                <w:sz w:val="24"/>
                <w:szCs w:val="24"/>
              </w:rPr>
            </w:pPr>
            <w:r>
              <w:rPr>
                <w:rFonts w:hint="eastAsia" w:ascii="黑体" w:hAnsi="黑体" w:eastAsia="黑体" w:cs="黑体"/>
                <w:b/>
                <w:bCs/>
                <w:sz w:val="24"/>
                <w:szCs w:val="24"/>
              </w:rPr>
              <w:t>适合的投资者</w:t>
            </w:r>
          </w:p>
        </w:tc>
      </w:tr>
      <w:tr w14:paraId="3B8C4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tcBorders>
              <w:top w:val="single" w:color="auto" w:sz="4" w:space="0"/>
              <w:left w:val="single" w:color="auto" w:sz="4" w:space="0"/>
              <w:bottom w:val="single" w:color="auto" w:sz="4" w:space="0"/>
              <w:right w:val="single" w:color="auto" w:sz="4" w:space="0"/>
            </w:tcBorders>
          </w:tcPr>
          <w:p w14:paraId="480D2ECE">
            <w:pPr>
              <w:spacing w:line="360" w:lineRule="auto"/>
              <w:jc w:val="center"/>
              <w:rPr>
                <w:rStyle w:val="12"/>
                <w:rFonts w:ascii="宋体" w:hAnsi="宋体" w:cs="宋体"/>
                <w:sz w:val="24"/>
                <w:szCs w:val="24"/>
              </w:rPr>
            </w:pPr>
            <w:r>
              <w:rPr>
                <w:rStyle w:val="12"/>
                <w:rFonts w:hint="eastAsia" w:ascii="宋体" w:hAnsi="宋体" w:cs="宋体"/>
                <w:sz w:val="24"/>
                <w:szCs w:val="24"/>
              </w:rPr>
              <w:t>一级</w:t>
            </w:r>
          </w:p>
        </w:tc>
        <w:tc>
          <w:tcPr>
            <w:tcW w:w="1227" w:type="dxa"/>
            <w:tcBorders>
              <w:top w:val="single" w:color="auto" w:sz="4" w:space="0"/>
              <w:left w:val="single" w:color="auto" w:sz="4" w:space="0"/>
              <w:bottom w:val="single" w:color="auto" w:sz="4" w:space="0"/>
              <w:right w:val="single" w:color="auto" w:sz="4" w:space="0"/>
            </w:tcBorders>
          </w:tcPr>
          <w:p w14:paraId="7A9EF0C4">
            <w:pPr>
              <w:spacing w:line="360" w:lineRule="auto"/>
              <w:jc w:val="center"/>
              <w:rPr>
                <w:rStyle w:val="12"/>
                <w:rFonts w:ascii="宋体" w:hAnsi="宋体" w:cs="宋体"/>
                <w:b w:val="0"/>
                <w:bCs w:val="0"/>
                <w:sz w:val="24"/>
                <w:szCs w:val="24"/>
              </w:rPr>
            </w:pPr>
            <w:r>
              <w:rPr>
                <w:rStyle w:val="12"/>
                <w:rFonts w:hint="eastAsia" w:ascii="宋体" w:hAnsi="宋体" w:cs="宋体"/>
                <w:sz w:val="24"/>
                <w:szCs w:val="24"/>
              </w:rPr>
              <w:t>低</w:t>
            </w:r>
          </w:p>
        </w:tc>
        <w:tc>
          <w:tcPr>
            <w:tcW w:w="3976" w:type="dxa"/>
            <w:tcBorders>
              <w:top w:val="single" w:color="auto" w:sz="4" w:space="0"/>
              <w:left w:val="single" w:color="auto" w:sz="4" w:space="0"/>
              <w:bottom w:val="single" w:color="auto" w:sz="4" w:space="0"/>
              <w:right w:val="single" w:color="auto" w:sz="4" w:space="0"/>
            </w:tcBorders>
            <w:vAlign w:val="center"/>
          </w:tcPr>
          <w:p w14:paraId="7DBDB557">
            <w:pPr>
              <w:spacing w:line="360" w:lineRule="auto"/>
              <w:jc w:val="center"/>
            </w:pPr>
            <w:r>
              <w:rPr>
                <w:rFonts w:hint="eastAsia" w:ascii="宋体" w:hAnsi="宋体" w:cs="宋体"/>
                <w:sz w:val="24"/>
                <w:szCs w:val="24"/>
              </w:rPr>
              <w:t>保守、稳健、平衡、成长、进取型</w:t>
            </w:r>
          </w:p>
        </w:tc>
      </w:tr>
      <w:tr w14:paraId="494C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163" w:type="dxa"/>
            <w:tcBorders>
              <w:top w:val="single" w:color="auto" w:sz="4" w:space="0"/>
              <w:left w:val="single" w:color="auto" w:sz="4" w:space="0"/>
              <w:bottom w:val="single" w:color="auto" w:sz="4" w:space="0"/>
              <w:right w:val="single" w:color="auto" w:sz="4" w:space="0"/>
            </w:tcBorders>
          </w:tcPr>
          <w:p w14:paraId="0026EB81">
            <w:pPr>
              <w:spacing w:line="360" w:lineRule="auto"/>
              <w:jc w:val="center"/>
              <w:rPr>
                <w:rStyle w:val="12"/>
                <w:rFonts w:ascii="宋体" w:hAnsi="宋体" w:cs="宋体"/>
                <w:sz w:val="24"/>
                <w:szCs w:val="24"/>
              </w:rPr>
            </w:pPr>
            <w:r>
              <w:rPr>
                <w:rStyle w:val="12"/>
                <w:rFonts w:hint="eastAsia" w:ascii="宋体" w:hAnsi="宋体" w:cs="宋体"/>
                <w:sz w:val="24"/>
                <w:szCs w:val="24"/>
              </w:rPr>
              <w:t>二级</w:t>
            </w:r>
          </w:p>
        </w:tc>
        <w:tc>
          <w:tcPr>
            <w:tcW w:w="1227" w:type="dxa"/>
            <w:tcBorders>
              <w:top w:val="single" w:color="auto" w:sz="4" w:space="0"/>
              <w:left w:val="single" w:color="auto" w:sz="4" w:space="0"/>
              <w:bottom w:val="single" w:color="auto" w:sz="4" w:space="0"/>
              <w:right w:val="single" w:color="auto" w:sz="4" w:space="0"/>
            </w:tcBorders>
          </w:tcPr>
          <w:p w14:paraId="167F8E76">
            <w:pPr>
              <w:spacing w:line="360" w:lineRule="auto"/>
              <w:jc w:val="center"/>
              <w:rPr>
                <w:rStyle w:val="12"/>
                <w:rFonts w:ascii="宋体" w:hAnsi="宋体" w:cs="宋体"/>
                <w:b w:val="0"/>
                <w:bCs w:val="0"/>
                <w:sz w:val="24"/>
                <w:szCs w:val="24"/>
              </w:rPr>
            </w:pPr>
            <w:r>
              <w:rPr>
                <w:rStyle w:val="12"/>
                <w:rFonts w:hint="eastAsia" w:ascii="宋体" w:hAnsi="宋体" w:cs="宋体"/>
                <w:sz w:val="24"/>
                <w:szCs w:val="24"/>
              </w:rPr>
              <w:t>中低</w:t>
            </w:r>
          </w:p>
        </w:tc>
        <w:tc>
          <w:tcPr>
            <w:tcW w:w="3976" w:type="dxa"/>
            <w:tcBorders>
              <w:top w:val="single" w:color="auto" w:sz="4" w:space="0"/>
              <w:left w:val="single" w:color="auto" w:sz="4" w:space="0"/>
              <w:bottom w:val="single" w:color="auto" w:sz="4" w:space="0"/>
              <w:right w:val="single" w:color="auto" w:sz="4" w:space="0"/>
            </w:tcBorders>
            <w:vAlign w:val="center"/>
          </w:tcPr>
          <w:p w14:paraId="454FD79F">
            <w:pPr>
              <w:spacing w:line="360" w:lineRule="auto"/>
              <w:jc w:val="cente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稳健、平衡、成长、进取型</w:t>
            </w:r>
          </w:p>
        </w:tc>
      </w:tr>
      <w:tr w14:paraId="41A3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tcBorders>
              <w:top w:val="single" w:color="auto" w:sz="4" w:space="0"/>
              <w:left w:val="single" w:color="auto" w:sz="4" w:space="0"/>
              <w:bottom w:val="single" w:color="auto" w:sz="4" w:space="0"/>
              <w:right w:val="single" w:color="auto" w:sz="4" w:space="0"/>
            </w:tcBorders>
          </w:tcPr>
          <w:p w14:paraId="18D8B23D">
            <w:pPr>
              <w:spacing w:line="360" w:lineRule="auto"/>
              <w:jc w:val="center"/>
              <w:rPr>
                <w:rStyle w:val="12"/>
              </w:rPr>
            </w:pPr>
            <w:r>
              <w:rPr>
                <w:rStyle w:val="12"/>
                <w:rFonts w:hint="eastAsia" w:ascii="宋体" w:hAnsi="宋体" w:cs="宋体"/>
                <w:sz w:val="24"/>
                <w:szCs w:val="24"/>
              </w:rPr>
              <w:t>三级</w:t>
            </w:r>
          </w:p>
        </w:tc>
        <w:tc>
          <w:tcPr>
            <w:tcW w:w="1227" w:type="dxa"/>
            <w:tcBorders>
              <w:top w:val="single" w:color="auto" w:sz="4" w:space="0"/>
              <w:left w:val="single" w:color="auto" w:sz="4" w:space="0"/>
              <w:bottom w:val="single" w:color="auto" w:sz="4" w:space="0"/>
              <w:right w:val="single" w:color="auto" w:sz="4" w:space="0"/>
            </w:tcBorders>
          </w:tcPr>
          <w:p w14:paraId="240667DE">
            <w:pPr>
              <w:spacing w:line="360" w:lineRule="auto"/>
              <w:jc w:val="center"/>
              <w:rPr>
                <w:rStyle w:val="12"/>
                <w:b w:val="0"/>
                <w:bCs w:val="0"/>
              </w:rPr>
            </w:pPr>
            <w:r>
              <w:rPr>
                <w:rStyle w:val="12"/>
                <w:rFonts w:hint="eastAsia" w:ascii="宋体" w:hAnsi="宋体" w:cs="宋体"/>
                <w:sz w:val="24"/>
                <w:szCs w:val="24"/>
              </w:rPr>
              <w:t>中</w:t>
            </w:r>
          </w:p>
        </w:tc>
        <w:tc>
          <w:tcPr>
            <w:tcW w:w="3976" w:type="dxa"/>
            <w:tcBorders>
              <w:top w:val="single" w:color="auto" w:sz="4" w:space="0"/>
              <w:left w:val="single" w:color="auto" w:sz="4" w:space="0"/>
              <w:bottom w:val="single" w:color="auto" w:sz="4" w:space="0"/>
              <w:right w:val="single" w:color="auto" w:sz="4" w:space="0"/>
            </w:tcBorders>
            <w:vAlign w:val="center"/>
          </w:tcPr>
          <w:p w14:paraId="5EC805F0">
            <w:pPr>
              <w:spacing w:line="360" w:lineRule="auto"/>
              <w:jc w:val="cente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平衡、成长、进取型</w:t>
            </w:r>
          </w:p>
        </w:tc>
      </w:tr>
      <w:tr w14:paraId="605C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tcBorders>
              <w:top w:val="single" w:color="auto" w:sz="4" w:space="0"/>
              <w:left w:val="single" w:color="auto" w:sz="4" w:space="0"/>
              <w:bottom w:val="single" w:color="auto" w:sz="4" w:space="0"/>
              <w:right w:val="single" w:color="auto" w:sz="4" w:space="0"/>
            </w:tcBorders>
          </w:tcPr>
          <w:p w14:paraId="5FB3EA5A">
            <w:pPr>
              <w:spacing w:line="360" w:lineRule="auto"/>
              <w:jc w:val="center"/>
              <w:rPr>
                <w:rStyle w:val="12"/>
              </w:rPr>
            </w:pPr>
            <w:r>
              <w:rPr>
                <w:rStyle w:val="12"/>
                <w:rFonts w:hint="eastAsia" w:ascii="宋体" w:hAnsi="宋体" w:cs="宋体"/>
                <w:sz w:val="24"/>
                <w:szCs w:val="24"/>
              </w:rPr>
              <w:t>四级</w:t>
            </w:r>
          </w:p>
        </w:tc>
        <w:tc>
          <w:tcPr>
            <w:tcW w:w="1227" w:type="dxa"/>
            <w:tcBorders>
              <w:top w:val="single" w:color="auto" w:sz="4" w:space="0"/>
              <w:left w:val="single" w:color="auto" w:sz="4" w:space="0"/>
              <w:bottom w:val="single" w:color="auto" w:sz="4" w:space="0"/>
              <w:right w:val="single" w:color="auto" w:sz="4" w:space="0"/>
            </w:tcBorders>
          </w:tcPr>
          <w:p w14:paraId="7DA71CC3">
            <w:pPr>
              <w:spacing w:line="360" w:lineRule="auto"/>
              <w:jc w:val="center"/>
              <w:rPr>
                <w:rFonts w:ascii="宋体" w:hAnsi="宋体" w:cs="宋体"/>
                <w:sz w:val="24"/>
                <w:szCs w:val="24"/>
              </w:rPr>
            </w:pPr>
            <w:r>
              <w:rPr>
                <w:rStyle w:val="12"/>
                <w:rFonts w:hint="eastAsia" w:ascii="宋体" w:hAnsi="宋体" w:cs="宋体"/>
                <w:sz w:val="24"/>
                <w:szCs w:val="24"/>
              </w:rPr>
              <w:t>中高</w:t>
            </w:r>
          </w:p>
        </w:tc>
        <w:tc>
          <w:tcPr>
            <w:tcW w:w="3976" w:type="dxa"/>
            <w:tcBorders>
              <w:top w:val="single" w:color="auto" w:sz="4" w:space="0"/>
              <w:left w:val="single" w:color="auto" w:sz="4" w:space="0"/>
              <w:bottom w:val="single" w:color="auto" w:sz="4" w:space="0"/>
              <w:right w:val="single" w:color="auto" w:sz="4" w:space="0"/>
            </w:tcBorders>
            <w:vAlign w:val="center"/>
          </w:tcPr>
          <w:p w14:paraId="59655D26">
            <w:pPr>
              <w:spacing w:line="360" w:lineRule="auto"/>
              <w:jc w:val="cente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成长、进取型</w:t>
            </w:r>
          </w:p>
        </w:tc>
      </w:tr>
      <w:tr w14:paraId="7CB7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3" w:type="dxa"/>
            <w:tcBorders>
              <w:top w:val="single" w:color="auto" w:sz="4" w:space="0"/>
              <w:left w:val="single" w:color="auto" w:sz="4" w:space="0"/>
              <w:bottom w:val="single" w:color="auto" w:sz="4" w:space="0"/>
              <w:right w:val="single" w:color="auto" w:sz="4" w:space="0"/>
            </w:tcBorders>
          </w:tcPr>
          <w:p w14:paraId="09AA58F3">
            <w:pPr>
              <w:spacing w:line="360" w:lineRule="auto"/>
              <w:jc w:val="center"/>
              <w:rPr>
                <w:rStyle w:val="12"/>
              </w:rPr>
            </w:pPr>
            <w:r>
              <w:rPr>
                <w:rStyle w:val="12"/>
                <w:rFonts w:hint="eastAsia" w:ascii="宋体" w:hAnsi="宋体" w:cs="宋体"/>
                <w:sz w:val="24"/>
                <w:szCs w:val="24"/>
              </w:rPr>
              <w:t>五级</w:t>
            </w:r>
          </w:p>
        </w:tc>
        <w:tc>
          <w:tcPr>
            <w:tcW w:w="1227" w:type="dxa"/>
            <w:tcBorders>
              <w:top w:val="single" w:color="auto" w:sz="4" w:space="0"/>
              <w:left w:val="single" w:color="auto" w:sz="4" w:space="0"/>
              <w:bottom w:val="single" w:color="auto" w:sz="4" w:space="0"/>
              <w:right w:val="single" w:color="auto" w:sz="4" w:space="0"/>
            </w:tcBorders>
          </w:tcPr>
          <w:p w14:paraId="745FD671">
            <w:pPr>
              <w:spacing w:line="360" w:lineRule="auto"/>
              <w:jc w:val="center"/>
              <w:rPr>
                <w:rFonts w:ascii="宋体" w:hAnsi="宋体" w:cs="宋体"/>
                <w:sz w:val="24"/>
                <w:szCs w:val="24"/>
              </w:rPr>
            </w:pPr>
            <w:r>
              <w:rPr>
                <w:rStyle w:val="12"/>
                <w:rFonts w:hint="eastAsia" w:ascii="宋体" w:hAnsi="宋体" w:cs="宋体"/>
                <w:sz w:val="24"/>
                <w:szCs w:val="24"/>
              </w:rPr>
              <w:t>高</w:t>
            </w:r>
          </w:p>
        </w:tc>
        <w:tc>
          <w:tcPr>
            <w:tcW w:w="3976" w:type="dxa"/>
            <w:tcBorders>
              <w:top w:val="single" w:color="auto" w:sz="4" w:space="0"/>
              <w:left w:val="single" w:color="auto" w:sz="4" w:space="0"/>
              <w:bottom w:val="single" w:color="auto" w:sz="4" w:space="0"/>
              <w:right w:val="single" w:color="auto" w:sz="4" w:space="0"/>
            </w:tcBorders>
            <w:vAlign w:val="center"/>
          </w:tcPr>
          <w:p w14:paraId="2CB96890">
            <w:pPr>
              <w:spacing w:line="360" w:lineRule="auto"/>
              <w:jc w:val="cente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进取型</w:t>
            </w:r>
          </w:p>
        </w:tc>
      </w:tr>
    </w:tbl>
    <w:p w14:paraId="208A071C">
      <w:pPr>
        <w:spacing w:line="360" w:lineRule="auto"/>
        <w:ind w:firstLine="480" w:firstLineChars="200"/>
        <w:rPr>
          <w:rStyle w:val="12"/>
          <w:b w:val="0"/>
          <w:bCs w:val="0"/>
        </w:rPr>
      </w:pPr>
      <w:r>
        <w:rPr>
          <w:rFonts w:hint="eastAsia" w:ascii="黑体" w:hAnsi="黑体" w:eastAsia="黑体" w:cs="黑体"/>
          <w:sz w:val="24"/>
          <w:szCs w:val="24"/>
        </w:rPr>
        <w:t>重要提示</w:t>
      </w:r>
      <w:r>
        <w:rPr>
          <w:rFonts w:hint="eastAsia" w:ascii="黑体" w:hAnsi="黑体" w:eastAsia="黑体" w:cs="黑体"/>
          <w:kern w:val="0"/>
          <w:sz w:val="24"/>
          <w:szCs w:val="24"/>
        </w:rPr>
        <w:t>：</w:t>
      </w:r>
      <w:r>
        <w:rPr>
          <w:rStyle w:val="12"/>
          <w:rFonts w:hint="eastAsia" w:ascii="宋体" w:hAnsi="宋体" w:cs="宋体"/>
          <w:b w:val="0"/>
          <w:bCs w:val="0"/>
          <w:sz w:val="24"/>
          <w:szCs w:val="24"/>
        </w:rPr>
        <w:t>根据理财产品风险评级标准，本产品风险评级为“二级”</w:t>
      </w:r>
      <w:r>
        <w:rPr>
          <w:rStyle w:val="12"/>
          <w:rFonts w:ascii="宋体" w:hAnsi="宋体" w:cs="宋体"/>
          <w:b w:val="0"/>
          <w:bCs w:val="0"/>
          <w:sz w:val="24"/>
          <w:szCs w:val="24"/>
        </w:rPr>
        <w:t>,对应风险程度为</w:t>
      </w:r>
      <w:r>
        <w:rPr>
          <w:rStyle w:val="12"/>
          <w:rFonts w:hint="eastAsia" w:ascii="宋体" w:hAnsi="宋体" w:cs="宋体"/>
          <w:b w:val="0"/>
          <w:bCs w:val="0"/>
          <w:sz w:val="24"/>
          <w:szCs w:val="24"/>
        </w:rPr>
        <w:t>中低</w:t>
      </w:r>
      <w:r>
        <w:rPr>
          <w:rStyle w:val="12"/>
          <w:rFonts w:ascii="宋体" w:hAnsi="宋体" w:cs="宋体"/>
          <w:b w:val="0"/>
          <w:bCs w:val="0"/>
          <w:sz w:val="24"/>
          <w:szCs w:val="24"/>
        </w:rPr>
        <w:t>，</w:t>
      </w:r>
      <w:r>
        <w:rPr>
          <w:rStyle w:val="12"/>
          <w:rFonts w:hint="eastAsia" w:ascii="宋体" w:hAnsi="宋体" w:cs="宋体"/>
          <w:b w:val="0"/>
          <w:bCs w:val="0"/>
          <w:sz w:val="24"/>
          <w:szCs w:val="24"/>
        </w:rPr>
        <w:t>适合</w:t>
      </w:r>
      <w:r>
        <w:rPr>
          <w:rFonts w:hint="eastAsia" w:ascii="宋体" w:hAnsi="宋体" w:cs="宋体"/>
          <w:sz w:val="24"/>
          <w:szCs w:val="24"/>
        </w:rPr>
        <w:t>稳健、平衡、成长、进取</w:t>
      </w:r>
      <w:r>
        <w:rPr>
          <w:rStyle w:val="12"/>
          <w:rFonts w:hint="eastAsia" w:ascii="宋体" w:hAnsi="宋体" w:cs="宋体"/>
          <w:b w:val="0"/>
          <w:bCs w:val="0"/>
          <w:sz w:val="24"/>
          <w:szCs w:val="24"/>
        </w:rPr>
        <w:t>型个人投资者购买。</w:t>
      </w:r>
    </w:p>
    <w:p w14:paraId="48E372B0">
      <w:pPr>
        <w:numPr>
          <w:ilvl w:val="0"/>
          <w:numId w:val="4"/>
        </w:numPr>
        <w:spacing w:line="360" w:lineRule="auto"/>
        <w:ind w:firstLine="482" w:firstLineChars="200"/>
        <w:outlineLvl w:val="0"/>
        <w:rPr>
          <w:rStyle w:val="12"/>
          <w:rFonts w:ascii="黑体" w:hAnsi="黑体" w:eastAsia="黑体" w:cs="黑体"/>
          <w:sz w:val="24"/>
          <w:szCs w:val="24"/>
        </w:rPr>
      </w:pPr>
      <w:r>
        <w:rPr>
          <w:rStyle w:val="12"/>
          <w:rFonts w:ascii="黑体" w:hAnsi="黑体" w:eastAsia="黑体" w:cs="黑体"/>
          <w:sz w:val="24"/>
          <w:szCs w:val="24"/>
        </w:rPr>
        <w:t xml:space="preserve"> </w:t>
      </w:r>
      <w:r>
        <w:rPr>
          <w:rStyle w:val="12"/>
          <w:rFonts w:hint="eastAsia" w:ascii="黑体" w:hAnsi="黑体" w:eastAsia="黑体" w:cs="黑体"/>
          <w:sz w:val="24"/>
          <w:szCs w:val="24"/>
        </w:rPr>
        <w:t>计息说明</w:t>
      </w:r>
    </w:p>
    <w:p w14:paraId="3F186E19">
      <w:pPr>
        <w:spacing w:line="360" w:lineRule="auto"/>
        <w:ind w:firstLine="480" w:firstLineChars="200"/>
        <w:rPr>
          <w:rStyle w:val="12"/>
          <w:b w:val="0"/>
          <w:sz w:val="24"/>
          <w:szCs w:val="24"/>
        </w:rPr>
      </w:pPr>
      <w:r>
        <w:rPr>
          <w:rStyle w:val="12"/>
          <w:rFonts w:hint="eastAsia"/>
          <w:b w:val="0"/>
          <w:sz w:val="24"/>
          <w:szCs w:val="24"/>
        </w:rPr>
        <w:t>认购期内，购买日至成立日之间，投资者资金按活期存款利率计算利息；</w:t>
      </w:r>
      <w:bookmarkStart w:id="1" w:name="_Hlk116130593"/>
      <w:r>
        <w:rPr>
          <w:rStyle w:val="12"/>
          <w:rFonts w:hint="eastAsia"/>
          <w:b w:val="0"/>
          <w:sz w:val="24"/>
          <w:szCs w:val="24"/>
        </w:rPr>
        <w:t>认购期内若投资者撤单，则撤单日至投资者资金</w:t>
      </w:r>
      <w:r>
        <w:rPr>
          <w:rFonts w:hint="eastAsia" w:asciiTheme="minorEastAsia" w:hAnsiTheme="minorEastAsia" w:eastAsiaTheme="minorEastAsia" w:cstheme="minorEastAsia"/>
          <w:sz w:val="24"/>
          <w:szCs w:val="24"/>
        </w:rPr>
        <w:t>退还/解冻日</w:t>
      </w:r>
      <w:r>
        <w:rPr>
          <w:rStyle w:val="12"/>
          <w:rFonts w:hint="eastAsia"/>
          <w:b w:val="0"/>
          <w:sz w:val="24"/>
          <w:szCs w:val="24"/>
        </w:rPr>
        <w:t>之间投资者资金按活期存款利率计算利息；</w:t>
      </w:r>
      <w:bookmarkEnd w:id="1"/>
      <w:r>
        <w:rPr>
          <w:rStyle w:val="12"/>
          <w:rFonts w:hint="eastAsia"/>
          <w:b w:val="0"/>
          <w:sz w:val="24"/>
          <w:szCs w:val="24"/>
        </w:rPr>
        <w:t>若产品不成立，则投资者资金在原定成立日至到账日之间不计息；若产品提前终止，则终止日至到账日之间，投资者资金不计利息。</w:t>
      </w:r>
    </w:p>
    <w:p w14:paraId="56B88E85">
      <w:pPr>
        <w:spacing w:line="360" w:lineRule="auto"/>
        <w:ind w:firstLine="482" w:firstLineChars="200"/>
        <w:outlineLvl w:val="0"/>
        <w:rPr>
          <w:rStyle w:val="12"/>
          <w:rFonts w:ascii="黑体" w:hAnsi="黑体" w:eastAsia="黑体" w:cs="黑体"/>
          <w:sz w:val="24"/>
          <w:szCs w:val="24"/>
        </w:rPr>
      </w:pPr>
      <w:r>
        <w:rPr>
          <w:rStyle w:val="12"/>
          <w:rFonts w:hint="eastAsia" w:ascii="黑体" w:hAnsi="黑体" w:eastAsia="黑体" w:cs="黑体"/>
          <w:sz w:val="24"/>
          <w:szCs w:val="24"/>
        </w:rPr>
        <w:t>第四条</w:t>
      </w:r>
      <w:r>
        <w:rPr>
          <w:rStyle w:val="12"/>
          <w:rFonts w:ascii="黑体" w:hAnsi="黑体" w:eastAsia="黑体" w:cs="黑体"/>
          <w:sz w:val="24"/>
          <w:szCs w:val="24"/>
        </w:rPr>
        <w:t xml:space="preserve">  </w:t>
      </w:r>
      <w:r>
        <w:rPr>
          <w:rStyle w:val="12"/>
          <w:rFonts w:hint="eastAsia" w:ascii="黑体" w:hAnsi="黑体" w:eastAsia="黑体" w:cs="黑体"/>
          <w:sz w:val="24"/>
          <w:szCs w:val="24"/>
        </w:rPr>
        <w:t>投资管理</w:t>
      </w:r>
    </w:p>
    <w:p w14:paraId="67C62E88">
      <w:pPr>
        <w:spacing w:line="360" w:lineRule="auto"/>
        <w:ind w:firstLine="480" w:firstLineChars="200"/>
        <w:outlineLvl w:val="1"/>
        <w:rPr>
          <w:rStyle w:val="12"/>
          <w:rFonts w:ascii="宋体" w:hAnsi="宋体"/>
          <w:b w:val="0"/>
          <w:sz w:val="24"/>
          <w:szCs w:val="24"/>
        </w:rPr>
      </w:pPr>
      <w:r>
        <w:rPr>
          <w:rStyle w:val="12"/>
          <w:rFonts w:ascii="宋体" w:hAnsi="宋体"/>
          <w:b w:val="0"/>
          <w:sz w:val="24"/>
          <w:szCs w:val="24"/>
        </w:rPr>
        <w:t>4</w:t>
      </w:r>
      <w:r>
        <w:rPr>
          <w:rStyle w:val="12"/>
          <w:rFonts w:hint="eastAsia" w:ascii="宋体" w:hAnsi="宋体"/>
          <w:b w:val="0"/>
          <w:sz w:val="24"/>
          <w:szCs w:val="24"/>
        </w:rPr>
        <w:t xml:space="preserve">.1  </w:t>
      </w:r>
      <w:bookmarkStart w:id="2" w:name="_Hlk114558284"/>
      <w:r>
        <w:rPr>
          <w:rStyle w:val="12"/>
          <w:rFonts w:hint="eastAsia" w:ascii="宋体" w:hAnsi="宋体"/>
          <w:b w:val="0"/>
          <w:sz w:val="24"/>
          <w:szCs w:val="24"/>
        </w:rPr>
        <w:t>投资范围</w:t>
      </w:r>
      <w:bookmarkEnd w:id="2"/>
    </w:p>
    <w:p w14:paraId="08705943">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贵州银行将本期产品募集资金直接或通过资产管理产品间接投资于符合监管要求的各类资产：</w:t>
      </w:r>
    </w:p>
    <w:p w14:paraId="30FFF9AD">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包括国债、地方政府债券、中央银行票据、政府机构债券、金融债券、银行存款、大额存单、同业存单、公司信用类债券、在银行间市场和证券交易所市场发行的资产支持证券、其他债权类资产（含非标资产）、</w:t>
      </w:r>
      <w:r>
        <w:rPr>
          <w:rStyle w:val="12"/>
          <w:rFonts w:hint="eastAsia" w:ascii="宋体" w:hAnsi="宋体"/>
          <w:b w:val="0"/>
          <w:color w:val="000000"/>
          <w:sz w:val="24"/>
          <w:szCs w:val="24"/>
        </w:rPr>
        <w:t>公募证券投资基金、权益类资产以及国务院银行业监督管理机构认可的其他资产</w:t>
      </w:r>
      <w:r>
        <w:rPr>
          <w:rStyle w:val="12"/>
          <w:rFonts w:hint="eastAsia" w:ascii="宋体" w:hAnsi="宋体"/>
          <w:b w:val="0"/>
          <w:sz w:val="24"/>
          <w:szCs w:val="24"/>
        </w:rPr>
        <w:t>。</w:t>
      </w:r>
    </w:p>
    <w:p w14:paraId="6EC3277B">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本理财产品可以按照国务院金融管理部门相关规定开展回购业务，回购业务中可接受押品的资质要求与本说明书约定的投资范围保持一致。</w:t>
      </w:r>
    </w:p>
    <w:p w14:paraId="6F5BE5E0">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本产品的上述投资范围将有可能随国家法律法规及监管政策的变化而产生变化，如投资范围等发生变化，产品管理人将通过</w:t>
      </w:r>
      <w:r>
        <w:rPr>
          <w:rFonts w:hint="eastAsia" w:ascii="宋体" w:hAnsi="宋体" w:cs="宋体"/>
          <w:sz w:val="24"/>
          <w:szCs w:val="24"/>
        </w:rPr>
        <w:t>贵州银行官方信息披露途径</w:t>
      </w:r>
      <w:r>
        <w:rPr>
          <w:rStyle w:val="12"/>
          <w:rFonts w:hint="eastAsia" w:ascii="宋体" w:hAnsi="宋体"/>
          <w:b w:val="0"/>
          <w:sz w:val="24"/>
          <w:szCs w:val="24"/>
        </w:rPr>
        <w:t>进行公告。若因市场发生重大变化导致本产品在存续期间投资比例暂时超出规定区间，本产品管理人将恪尽职守，按照监管要求在规定时间内恢复到规定投资比例区间。</w:t>
      </w:r>
      <w:r>
        <w:rPr>
          <w:rStyle w:val="12"/>
          <w:rFonts w:ascii="宋体" w:hAnsi="宋体"/>
          <w:b w:val="0"/>
          <w:sz w:val="24"/>
          <w:szCs w:val="24"/>
        </w:rPr>
        <w:br w:type="textWrapping"/>
      </w:r>
      <w:r>
        <w:rPr>
          <w:rStyle w:val="12"/>
          <w:rFonts w:ascii="宋体" w:hAnsi="宋体"/>
          <w:b w:val="0"/>
          <w:sz w:val="24"/>
          <w:szCs w:val="24"/>
        </w:rPr>
        <w:t xml:space="preserve">    </w:t>
      </w:r>
      <w:r>
        <w:rPr>
          <w:rStyle w:val="12"/>
          <w:rFonts w:hint="eastAsia" w:ascii="宋体" w:hAnsi="宋体"/>
          <w:b w:val="0"/>
          <w:sz w:val="24"/>
          <w:szCs w:val="24"/>
        </w:rPr>
        <w:t>4</w:t>
      </w:r>
      <w:r>
        <w:rPr>
          <w:rStyle w:val="12"/>
          <w:rFonts w:ascii="宋体" w:hAnsi="宋体"/>
          <w:b w:val="0"/>
          <w:sz w:val="24"/>
          <w:szCs w:val="24"/>
        </w:rPr>
        <w:t xml:space="preserve">.2  </w:t>
      </w:r>
      <w:r>
        <w:rPr>
          <w:rStyle w:val="12"/>
          <w:rFonts w:hint="eastAsia" w:ascii="宋体" w:hAnsi="宋体"/>
          <w:b w:val="0"/>
          <w:sz w:val="24"/>
          <w:szCs w:val="24"/>
        </w:rPr>
        <w:t>主要拟投资市场及资产流动性评估</w:t>
      </w:r>
    </w:p>
    <w:p w14:paraId="373278A3">
      <w:pPr>
        <w:spacing w:line="360" w:lineRule="auto"/>
        <w:ind w:firstLine="480" w:firstLineChars="200"/>
        <w:rPr>
          <w:rStyle w:val="30"/>
          <w:rFonts w:hint="default"/>
        </w:rPr>
      </w:pPr>
      <w:r>
        <w:rPr>
          <w:rStyle w:val="30"/>
          <w:rFonts w:hint="default"/>
        </w:rPr>
        <w:t>本理财产品主要拟投资的市场为证券交易所、全国银行间债券市场，主要投资的资产包括银行间债券、交易所债券、货币市场类资产、证券投资基金、以及其他资管产品，具体投资资产与比例在监管要求范围内进行配置。</w:t>
      </w:r>
    </w:p>
    <w:p w14:paraId="16725290">
      <w:pPr>
        <w:spacing w:line="360" w:lineRule="auto"/>
        <w:ind w:firstLine="480" w:firstLineChars="200"/>
        <w:rPr>
          <w:rStyle w:val="30"/>
          <w:rFonts w:hint="default"/>
        </w:rPr>
      </w:pPr>
      <w:r>
        <w:rPr>
          <w:rStyle w:val="30"/>
          <w:rFonts w:hint="default"/>
        </w:rPr>
        <w:t>银行间债券流动性由高到低主要为以下三类：一是国债和政策性金融债，该类资产流动性较高；二是地方政府债、政策性银行之外金融机构发行的金融债（商业银行债、商业银行次级债券等），该类资产流动性次之；三是短期融资券、超短期融资券、中期票据和企业债，该类资产流动性与信用评级相关，一般评级越高流动性越好，但整体流动性弱于前两类资产。</w:t>
      </w:r>
    </w:p>
    <w:p w14:paraId="53CA1D51">
      <w:pPr>
        <w:spacing w:line="360" w:lineRule="auto"/>
        <w:ind w:firstLine="480" w:firstLineChars="200"/>
        <w:rPr>
          <w:rStyle w:val="30"/>
          <w:rFonts w:hint="default"/>
        </w:rPr>
      </w:pPr>
      <w:r>
        <w:rPr>
          <w:rStyle w:val="30"/>
          <w:rFonts w:hint="default"/>
        </w:rPr>
        <w:t>交易所债券主要包括三类：一是国债，流动性较好；二是地方政府债、证券公司债和政策银行债，该类资产在交易所发行量较小，成交相对不活跃；三是企业债和公司债，个券之间流动性差异较大。</w:t>
      </w:r>
    </w:p>
    <w:p w14:paraId="79AC4F68">
      <w:pPr>
        <w:spacing w:line="360" w:lineRule="auto"/>
        <w:ind w:firstLine="480" w:firstLineChars="200"/>
        <w:rPr>
          <w:rStyle w:val="30"/>
          <w:rFonts w:hint="default"/>
        </w:rPr>
      </w:pPr>
      <w:r>
        <w:rPr>
          <w:rStyle w:val="30"/>
          <w:rFonts w:hint="default"/>
        </w:rPr>
        <w:t>货币类市场工具主要包括同业存单、债券回购和存款。AAA级同业存单流动性</w:t>
      </w:r>
      <w:r>
        <w:rPr>
          <w:rFonts w:hint="eastAsia"/>
          <w:color w:val="000000"/>
        </w:rPr>
        <w:br w:type="textWrapping"/>
      </w:r>
      <w:r>
        <w:rPr>
          <w:rStyle w:val="30"/>
          <w:rFonts w:hint="default"/>
        </w:rPr>
        <w:t>较高；债券回购有确定到期日，无法提前支取，流动性高低与回购期限相关；存款分有提前支取条款和无提前支取条款两类，一般可提前支取的流动性好。</w:t>
      </w:r>
    </w:p>
    <w:p w14:paraId="42ED2592">
      <w:pPr>
        <w:spacing w:line="360" w:lineRule="auto"/>
        <w:ind w:firstLine="480" w:firstLineChars="200"/>
        <w:rPr>
          <w:rStyle w:val="30"/>
          <w:rFonts w:hint="default"/>
        </w:rPr>
      </w:pPr>
      <w:r>
        <w:rPr>
          <w:rStyle w:val="30"/>
          <w:rFonts w:hint="default"/>
        </w:rPr>
        <w:t>证券投资基金及其他资管产品正常情况下能及时赎回变现，以满足日常流动</w:t>
      </w:r>
      <w:r>
        <w:rPr>
          <w:rFonts w:hint="eastAsia"/>
          <w:color w:val="000000"/>
        </w:rPr>
        <w:br w:type="textWrapping"/>
      </w:r>
      <w:r>
        <w:rPr>
          <w:rStyle w:val="30"/>
          <w:rFonts w:hint="default"/>
        </w:rPr>
        <w:t>性运作要求。本产品拟重点选择管理规范、业绩优良、历史流动性状况良好的基金及资管公司投资。</w:t>
      </w:r>
    </w:p>
    <w:p w14:paraId="3B471A6E">
      <w:pPr>
        <w:spacing w:line="360" w:lineRule="auto"/>
        <w:ind w:firstLine="480" w:firstLineChars="200"/>
        <w:rPr>
          <w:rStyle w:val="12"/>
          <w:rFonts w:ascii="宋体" w:hAnsi="宋体"/>
          <w:sz w:val="24"/>
          <w:szCs w:val="24"/>
        </w:rPr>
      </w:pPr>
      <w:r>
        <w:rPr>
          <w:rStyle w:val="30"/>
          <w:rFonts w:hint="default"/>
        </w:rPr>
        <w:t>本理财产品如投资于非标准化债权资产，将严格执行监管有关限额管理、流动性管理等监管标准要求，防范并控制集中度和期限错配等风险。</w:t>
      </w:r>
    </w:p>
    <w:p w14:paraId="2EECE305">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4.</w:t>
      </w:r>
      <w:r>
        <w:rPr>
          <w:rStyle w:val="12"/>
          <w:rFonts w:ascii="宋体" w:hAnsi="宋体"/>
          <w:b w:val="0"/>
          <w:sz w:val="24"/>
          <w:szCs w:val="24"/>
        </w:rPr>
        <w:t>3</w:t>
      </w:r>
      <w:r>
        <w:rPr>
          <w:rStyle w:val="12"/>
          <w:rFonts w:hint="eastAsia" w:ascii="宋体" w:hAnsi="宋体"/>
          <w:b w:val="0"/>
          <w:sz w:val="24"/>
          <w:szCs w:val="24"/>
        </w:rPr>
        <w:t xml:space="preserve">  投资限制</w:t>
      </w:r>
    </w:p>
    <w:p w14:paraId="2FD5F03D">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产品投资于固定收益类资产比例不低于</w:t>
      </w:r>
      <w:r>
        <w:rPr>
          <w:rStyle w:val="12"/>
          <w:rFonts w:ascii="宋体" w:hAnsi="宋体"/>
          <w:b w:val="0"/>
          <w:sz w:val="24"/>
          <w:szCs w:val="24"/>
        </w:rPr>
        <w:t>8</w:t>
      </w:r>
      <w:r>
        <w:rPr>
          <w:rStyle w:val="12"/>
          <w:rFonts w:hint="eastAsia" w:ascii="宋体" w:hAnsi="宋体"/>
          <w:b w:val="0"/>
          <w:sz w:val="24"/>
          <w:szCs w:val="24"/>
        </w:rPr>
        <w:t>0%。</w:t>
      </w:r>
    </w:p>
    <w:p w14:paraId="661EC155">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投资于单只证券或单只证券投资基金的市值不得超过本理财产品净资产的10%。</w:t>
      </w:r>
    </w:p>
    <w:p w14:paraId="5F476B05">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杠杆水平不超过2</w:t>
      </w:r>
      <w:r>
        <w:rPr>
          <w:rStyle w:val="12"/>
          <w:rFonts w:ascii="宋体" w:hAnsi="宋体"/>
          <w:b w:val="0"/>
          <w:sz w:val="24"/>
          <w:szCs w:val="24"/>
        </w:rPr>
        <w:t>00</w:t>
      </w:r>
      <w:r>
        <w:rPr>
          <w:rStyle w:val="12"/>
          <w:rFonts w:hint="eastAsia" w:ascii="宋体" w:hAnsi="宋体"/>
          <w:b w:val="0"/>
          <w:sz w:val="24"/>
          <w:szCs w:val="24"/>
        </w:rPr>
        <w:t>%。</w:t>
      </w:r>
    </w:p>
    <w:p w14:paraId="727C926D">
      <w:pPr>
        <w:spacing w:line="360" w:lineRule="auto"/>
        <w:ind w:firstLine="480" w:firstLineChars="200"/>
        <w:rPr>
          <w:rStyle w:val="12"/>
          <w:rFonts w:ascii="宋体" w:hAnsi="宋体"/>
          <w:b w:val="0"/>
          <w:sz w:val="24"/>
          <w:szCs w:val="24"/>
        </w:rPr>
      </w:pPr>
      <w:r>
        <w:rPr>
          <w:rStyle w:val="12"/>
          <w:rFonts w:ascii="宋体" w:hAnsi="宋体"/>
          <w:b w:val="0"/>
          <w:sz w:val="24"/>
          <w:szCs w:val="24"/>
        </w:rPr>
        <w:t>4</w:t>
      </w:r>
      <w:r>
        <w:rPr>
          <w:rStyle w:val="12"/>
          <w:rFonts w:hint="eastAsia" w:ascii="宋体" w:hAnsi="宋体"/>
          <w:b w:val="0"/>
          <w:sz w:val="24"/>
          <w:szCs w:val="24"/>
        </w:rPr>
        <w:t>.</w:t>
      </w:r>
      <w:r>
        <w:rPr>
          <w:rStyle w:val="12"/>
          <w:rFonts w:ascii="宋体" w:hAnsi="宋体"/>
          <w:b w:val="0"/>
          <w:sz w:val="24"/>
          <w:szCs w:val="24"/>
        </w:rPr>
        <w:t>4</w:t>
      </w:r>
      <w:r>
        <w:rPr>
          <w:rStyle w:val="12"/>
          <w:rFonts w:hint="eastAsia" w:ascii="宋体" w:hAnsi="宋体"/>
          <w:b w:val="0"/>
          <w:sz w:val="24"/>
          <w:szCs w:val="24"/>
        </w:rPr>
        <w:t xml:space="preserve">  本产品的建仓期为</w:t>
      </w:r>
      <w:r>
        <w:rPr>
          <w:rStyle w:val="12"/>
          <w:rFonts w:ascii="宋体" w:hAnsi="宋体"/>
          <w:b w:val="0"/>
          <w:sz w:val="24"/>
          <w:szCs w:val="24"/>
          <w:u w:val="single"/>
        </w:rPr>
        <w:t>30</w:t>
      </w:r>
      <w:r>
        <w:rPr>
          <w:rStyle w:val="12"/>
          <w:rFonts w:ascii="宋体" w:hAnsi="宋体"/>
          <w:b w:val="0"/>
          <w:sz w:val="24"/>
          <w:szCs w:val="24"/>
        </w:rPr>
        <w:t>天</w:t>
      </w:r>
      <w:r>
        <w:rPr>
          <w:rStyle w:val="12"/>
          <w:rFonts w:hint="eastAsia" w:ascii="宋体" w:hAnsi="宋体"/>
          <w:b w:val="0"/>
          <w:sz w:val="24"/>
          <w:szCs w:val="24"/>
        </w:rPr>
        <w:t>，建仓期的投资活动，应当符合约定的投向和风险收益特征。建仓期结束后，本产品的资产组合应当符合法律、行政法规、监管机构规定和合同约定的投向和比例。</w:t>
      </w:r>
    </w:p>
    <w:p w14:paraId="055FDE9E">
      <w:pPr>
        <w:spacing w:line="360" w:lineRule="auto"/>
        <w:ind w:firstLine="480" w:firstLineChars="200"/>
        <w:rPr>
          <w:rStyle w:val="12"/>
          <w:rFonts w:ascii="宋体" w:hAnsi="宋体"/>
          <w:b w:val="0"/>
          <w:sz w:val="24"/>
          <w:szCs w:val="24"/>
        </w:rPr>
      </w:pPr>
      <w:r>
        <w:rPr>
          <w:rStyle w:val="12"/>
          <w:rFonts w:ascii="宋体" w:hAnsi="宋体"/>
          <w:b w:val="0"/>
          <w:sz w:val="24"/>
          <w:szCs w:val="24"/>
        </w:rPr>
        <w:t>4</w:t>
      </w:r>
      <w:r>
        <w:rPr>
          <w:rStyle w:val="12"/>
          <w:rFonts w:hint="eastAsia" w:ascii="宋体" w:hAnsi="宋体"/>
          <w:b w:val="0"/>
          <w:sz w:val="24"/>
          <w:szCs w:val="24"/>
        </w:rPr>
        <w:t>.</w:t>
      </w:r>
      <w:r>
        <w:rPr>
          <w:rStyle w:val="12"/>
          <w:rFonts w:ascii="宋体" w:hAnsi="宋体"/>
          <w:b w:val="0"/>
          <w:sz w:val="24"/>
          <w:szCs w:val="24"/>
        </w:rPr>
        <w:t>5</w:t>
      </w:r>
      <w:r>
        <w:rPr>
          <w:rStyle w:val="12"/>
          <w:rFonts w:hint="eastAsia" w:ascii="宋体" w:hAnsi="宋体"/>
          <w:b w:val="0"/>
          <w:sz w:val="24"/>
          <w:szCs w:val="24"/>
        </w:rPr>
        <w:t xml:space="preserve">  产品管理人</w:t>
      </w:r>
    </w:p>
    <w:p w14:paraId="765A0BCF">
      <w:pPr>
        <w:spacing w:line="360" w:lineRule="auto"/>
        <w:ind w:firstLine="480" w:firstLineChars="200"/>
        <w:rPr>
          <w:rStyle w:val="12"/>
          <w:rFonts w:ascii="宋体" w:hAnsi="宋体"/>
          <w:b w:val="0"/>
          <w:sz w:val="24"/>
          <w:szCs w:val="24"/>
        </w:rPr>
      </w:pPr>
      <w:r>
        <w:rPr>
          <w:rStyle w:val="12"/>
          <w:rFonts w:hint="eastAsia" w:ascii="宋体" w:hAnsi="宋体"/>
          <w:b w:val="0"/>
          <w:sz w:val="24"/>
          <w:szCs w:val="24"/>
        </w:rPr>
        <w:t>本产品的管理人为贵州银行。贵州银行接受投资者的委托和授权，按照本产品约定的投资方向和方式进行投资和资产管理，代表投资者签订投资和资产管理过程中涉及到的协议、合同等文本。</w:t>
      </w:r>
    </w:p>
    <w:p w14:paraId="7EEF22D4">
      <w:pPr>
        <w:spacing w:line="360" w:lineRule="auto"/>
        <w:ind w:firstLine="482" w:firstLineChars="200"/>
        <w:outlineLvl w:val="0"/>
        <w:rPr>
          <w:rStyle w:val="12"/>
          <w:rFonts w:ascii="黑体" w:hAnsi="黑体" w:eastAsia="黑体" w:cs="黑体"/>
          <w:bCs w:val="0"/>
          <w:sz w:val="24"/>
          <w:szCs w:val="24"/>
        </w:rPr>
      </w:pPr>
      <w:r>
        <w:rPr>
          <w:rStyle w:val="12"/>
          <w:rFonts w:hint="eastAsia" w:ascii="黑体" w:hAnsi="黑体" w:eastAsia="黑体" w:cs="黑体"/>
          <w:bCs w:val="0"/>
          <w:sz w:val="24"/>
          <w:szCs w:val="24"/>
        </w:rPr>
        <w:t>第五条  产品估值</w:t>
      </w:r>
    </w:p>
    <w:p w14:paraId="00147646">
      <w:pPr>
        <w:spacing w:line="360" w:lineRule="auto"/>
        <w:ind w:firstLine="480" w:firstLineChars="200"/>
        <w:outlineLvl w:val="1"/>
        <w:rPr>
          <w:rStyle w:val="12"/>
          <w:rFonts w:ascii="宋体" w:hAnsi="宋体"/>
          <w:b w:val="0"/>
          <w:bCs w:val="0"/>
          <w:sz w:val="24"/>
        </w:rPr>
      </w:pPr>
      <w:r>
        <w:rPr>
          <w:rStyle w:val="12"/>
          <w:rFonts w:ascii="宋体" w:hAnsi="宋体"/>
          <w:b w:val="0"/>
          <w:bCs w:val="0"/>
          <w:sz w:val="24"/>
          <w:szCs w:val="24"/>
        </w:rPr>
        <w:t xml:space="preserve">5.1  </w:t>
      </w:r>
      <w:r>
        <w:rPr>
          <w:rStyle w:val="12"/>
          <w:rFonts w:hint="eastAsia" w:ascii="宋体" w:hAnsi="宋体"/>
          <w:b w:val="0"/>
          <w:bCs w:val="0"/>
          <w:sz w:val="24"/>
          <w:szCs w:val="24"/>
        </w:rPr>
        <w:t>估值日</w:t>
      </w:r>
    </w:p>
    <w:p w14:paraId="70A50EA5">
      <w:pPr>
        <w:spacing w:line="360" w:lineRule="auto"/>
        <w:ind w:firstLine="480" w:firstLineChars="200"/>
        <w:rPr>
          <w:rStyle w:val="12"/>
          <w:rFonts w:ascii="宋体" w:hAnsi="宋体"/>
          <w:b w:val="0"/>
          <w:bCs w:val="0"/>
          <w:sz w:val="24"/>
        </w:rPr>
      </w:pPr>
      <w:r>
        <w:rPr>
          <w:rStyle w:val="12"/>
          <w:rFonts w:hint="eastAsia" w:ascii="宋体" w:hAnsi="宋体"/>
          <w:b w:val="0"/>
          <w:bCs w:val="0"/>
          <w:sz w:val="24"/>
          <w:szCs w:val="24"/>
        </w:rPr>
        <w:t>本产品的估值日为每个工作日。</w:t>
      </w:r>
    </w:p>
    <w:p w14:paraId="7DCE3332">
      <w:pPr>
        <w:spacing w:line="360" w:lineRule="auto"/>
        <w:ind w:firstLine="480" w:firstLineChars="200"/>
        <w:outlineLvl w:val="1"/>
        <w:rPr>
          <w:rStyle w:val="12"/>
          <w:rFonts w:ascii="宋体" w:hAnsi="宋体"/>
          <w:b w:val="0"/>
          <w:bCs w:val="0"/>
          <w:sz w:val="24"/>
        </w:rPr>
      </w:pPr>
      <w:r>
        <w:rPr>
          <w:rStyle w:val="12"/>
          <w:rFonts w:ascii="宋体" w:hAnsi="宋体"/>
          <w:b w:val="0"/>
          <w:bCs w:val="0"/>
          <w:sz w:val="24"/>
          <w:szCs w:val="24"/>
        </w:rPr>
        <w:t xml:space="preserve">5.2  </w:t>
      </w:r>
      <w:r>
        <w:rPr>
          <w:rStyle w:val="12"/>
          <w:rFonts w:hint="eastAsia" w:ascii="宋体" w:hAnsi="宋体"/>
          <w:b w:val="0"/>
          <w:bCs w:val="0"/>
          <w:sz w:val="24"/>
          <w:szCs w:val="24"/>
        </w:rPr>
        <w:t>估值对象</w:t>
      </w:r>
    </w:p>
    <w:p w14:paraId="6D96DD1A">
      <w:pPr>
        <w:spacing w:line="360" w:lineRule="auto"/>
        <w:ind w:firstLine="480" w:firstLineChars="200"/>
        <w:rPr>
          <w:rStyle w:val="12"/>
          <w:rFonts w:ascii="宋体" w:hAnsi="宋体"/>
          <w:b w:val="0"/>
          <w:bCs w:val="0"/>
          <w:sz w:val="24"/>
        </w:rPr>
      </w:pPr>
      <w:r>
        <w:rPr>
          <w:rStyle w:val="12"/>
          <w:rFonts w:hint="eastAsia" w:ascii="宋体" w:hAnsi="宋体"/>
          <w:b w:val="0"/>
          <w:bCs w:val="0"/>
          <w:sz w:val="24"/>
          <w:szCs w:val="24"/>
        </w:rPr>
        <w:t>本产品所拥有的所有资产及负债。</w:t>
      </w:r>
    </w:p>
    <w:p w14:paraId="145A5810">
      <w:pPr>
        <w:spacing w:line="360" w:lineRule="auto"/>
        <w:ind w:firstLine="480" w:firstLineChars="200"/>
        <w:outlineLvl w:val="1"/>
        <w:rPr>
          <w:rStyle w:val="12"/>
          <w:rFonts w:ascii="宋体" w:hAnsi="宋体"/>
          <w:b w:val="0"/>
          <w:bCs w:val="0"/>
          <w:sz w:val="24"/>
        </w:rPr>
      </w:pPr>
      <w:r>
        <w:rPr>
          <w:rStyle w:val="12"/>
          <w:rFonts w:ascii="宋体" w:hAnsi="宋体"/>
          <w:b w:val="0"/>
          <w:bCs w:val="0"/>
          <w:sz w:val="24"/>
          <w:szCs w:val="24"/>
        </w:rPr>
        <w:t xml:space="preserve">5.3  </w:t>
      </w:r>
      <w:r>
        <w:rPr>
          <w:rStyle w:val="12"/>
          <w:rFonts w:hint="eastAsia" w:ascii="宋体" w:hAnsi="宋体"/>
          <w:b w:val="0"/>
          <w:bCs w:val="0"/>
          <w:sz w:val="24"/>
          <w:szCs w:val="24"/>
        </w:rPr>
        <w:t>估值方法</w:t>
      </w:r>
    </w:p>
    <w:p w14:paraId="3C79CFF5">
      <w:pPr>
        <w:spacing w:line="360" w:lineRule="auto"/>
        <w:ind w:firstLine="480" w:firstLineChars="200"/>
        <w:rPr>
          <w:rStyle w:val="12"/>
          <w:rFonts w:ascii="宋体" w:hAnsi="宋体"/>
          <w:b w:val="0"/>
          <w:bCs w:val="0"/>
          <w:sz w:val="24"/>
        </w:rPr>
      </w:pPr>
      <w:r>
        <w:rPr>
          <w:rStyle w:val="12"/>
          <w:rFonts w:ascii="宋体" w:hAnsi="宋体"/>
          <w:b w:val="0"/>
          <w:bCs w:val="0"/>
          <w:sz w:val="24"/>
          <w:szCs w:val="24"/>
        </w:rPr>
        <w:t xml:space="preserve">5.3.1  </w:t>
      </w:r>
      <w:r>
        <w:rPr>
          <w:rStyle w:val="12"/>
          <w:rFonts w:hint="eastAsia" w:ascii="宋体" w:hAnsi="宋体"/>
          <w:b w:val="0"/>
          <w:bCs w:val="0"/>
          <w:sz w:val="24"/>
          <w:szCs w:val="24"/>
        </w:rPr>
        <w:t>存款类资产、买入返售金融资产、卖出回购金融资产款</w:t>
      </w:r>
    </w:p>
    <w:p w14:paraId="3E13EFF8">
      <w:pPr>
        <w:spacing w:line="360" w:lineRule="auto"/>
        <w:ind w:firstLine="480" w:firstLineChars="200"/>
        <w:rPr>
          <w:rStyle w:val="12"/>
          <w:rFonts w:ascii="宋体" w:hAnsi="宋体"/>
          <w:b w:val="0"/>
          <w:bCs w:val="0"/>
          <w:sz w:val="24"/>
        </w:rPr>
      </w:pPr>
      <w:r>
        <w:rPr>
          <w:rStyle w:val="12"/>
          <w:rFonts w:hint="eastAsia" w:ascii="宋体" w:hAnsi="宋体"/>
          <w:b w:val="0"/>
          <w:bCs w:val="0"/>
          <w:sz w:val="24"/>
          <w:szCs w:val="24"/>
        </w:rPr>
        <w:t>以成本列示，按商定利率在实际持有期间内逐日计提利息。</w:t>
      </w:r>
    </w:p>
    <w:p w14:paraId="3A50302F">
      <w:pPr>
        <w:spacing w:line="360" w:lineRule="auto"/>
        <w:ind w:firstLine="480" w:firstLineChars="200"/>
        <w:rPr>
          <w:rStyle w:val="12"/>
          <w:rFonts w:ascii="宋体" w:hAnsi="宋体"/>
          <w:b w:val="0"/>
          <w:bCs w:val="0"/>
          <w:sz w:val="24"/>
          <w:szCs w:val="24"/>
        </w:rPr>
      </w:pPr>
      <w:r>
        <w:rPr>
          <w:rStyle w:val="12"/>
          <w:rFonts w:ascii="宋体" w:hAnsi="宋体"/>
          <w:b w:val="0"/>
          <w:bCs w:val="0"/>
          <w:sz w:val="24"/>
          <w:szCs w:val="24"/>
        </w:rPr>
        <w:t xml:space="preserve">5.3.2  </w:t>
      </w:r>
      <w:r>
        <w:rPr>
          <w:rStyle w:val="12"/>
          <w:rFonts w:hint="eastAsia" w:ascii="宋体" w:hAnsi="宋体"/>
          <w:b w:val="0"/>
          <w:bCs w:val="0"/>
          <w:sz w:val="24"/>
          <w:szCs w:val="24"/>
        </w:rPr>
        <w:t>在境内银行间市场和证券交易所流通的债券等标准化固定收益类资产</w:t>
      </w:r>
    </w:p>
    <w:p w14:paraId="4C74527F">
      <w:pPr>
        <w:spacing w:line="360" w:lineRule="auto"/>
        <w:ind w:firstLine="480" w:firstLineChars="200"/>
        <w:rPr>
          <w:rStyle w:val="12"/>
          <w:rFonts w:ascii="宋体" w:hAnsi="宋体"/>
          <w:b w:val="0"/>
          <w:bCs w:val="0"/>
          <w:sz w:val="24"/>
          <w:szCs w:val="24"/>
        </w:rPr>
      </w:pPr>
      <w:r>
        <w:rPr>
          <w:rStyle w:val="12"/>
          <w:rFonts w:hint="eastAsia" w:ascii="宋体" w:hAnsi="宋体"/>
          <w:b w:val="0"/>
          <w:bCs w:val="0"/>
          <w:sz w:val="24"/>
          <w:szCs w:val="24"/>
        </w:rPr>
        <w:t>选择第三方估值机构（中债、中证等）提供的相应品种的估值净价或交易所收盘价进行估值。</w:t>
      </w:r>
    </w:p>
    <w:p w14:paraId="19431E35">
      <w:pPr>
        <w:spacing w:line="360" w:lineRule="auto"/>
        <w:ind w:firstLine="480" w:firstLineChars="200"/>
        <w:rPr>
          <w:rStyle w:val="12"/>
          <w:rFonts w:ascii="宋体" w:hAnsi="宋体"/>
          <w:b w:val="0"/>
          <w:bCs w:val="0"/>
          <w:sz w:val="24"/>
          <w:szCs w:val="24"/>
        </w:rPr>
      </w:pPr>
      <w:r>
        <w:rPr>
          <w:rStyle w:val="12"/>
          <w:rFonts w:hint="eastAsia" w:ascii="宋体" w:hAnsi="宋体"/>
          <w:b w:val="0"/>
          <w:bCs w:val="0"/>
          <w:sz w:val="24"/>
          <w:szCs w:val="24"/>
        </w:rPr>
        <w:t>未上市的债券且第三方估值机构（中债、中证等）未提供估值价格的，使用估值技术确定其公允价值。</w:t>
      </w:r>
    </w:p>
    <w:p w14:paraId="43824925">
      <w:pPr>
        <w:spacing w:line="360" w:lineRule="auto"/>
        <w:ind w:firstLine="480" w:firstLineChars="200"/>
        <w:rPr>
          <w:rStyle w:val="12"/>
          <w:rFonts w:ascii="宋体" w:hAnsi="宋体" w:cs="Times New Roman"/>
          <w:b w:val="0"/>
          <w:bCs w:val="0"/>
          <w:sz w:val="24"/>
          <w:szCs w:val="24"/>
        </w:rPr>
      </w:pPr>
      <w:r>
        <w:rPr>
          <w:rStyle w:val="12"/>
          <w:rFonts w:hint="eastAsia" w:ascii="宋体" w:hAnsi="宋体"/>
          <w:b w:val="0"/>
          <w:bCs w:val="0"/>
          <w:sz w:val="24"/>
          <w:szCs w:val="24"/>
        </w:rPr>
        <w:t>资产支持证券和私募债，如交易活跃可采用市价法作为公允价值；如交易不活跃，可采用第三方估值机构（中债、中证等）估值结果或相应的估值技术确定其公允价值。</w:t>
      </w:r>
    </w:p>
    <w:p w14:paraId="5C2EE684">
      <w:pPr>
        <w:spacing w:line="360" w:lineRule="auto"/>
        <w:ind w:firstLine="480" w:firstLineChars="200"/>
        <w:rPr>
          <w:rStyle w:val="12"/>
          <w:rFonts w:ascii="宋体" w:hAnsi="宋体"/>
          <w:b w:val="0"/>
          <w:bCs w:val="0"/>
          <w:sz w:val="24"/>
        </w:rPr>
      </w:pPr>
      <w:r>
        <w:rPr>
          <w:rStyle w:val="12"/>
          <w:rFonts w:ascii="宋体" w:hAnsi="宋体"/>
          <w:b w:val="0"/>
          <w:bCs w:val="0"/>
          <w:sz w:val="24"/>
          <w:szCs w:val="24"/>
        </w:rPr>
        <w:t xml:space="preserve">5.3.3  </w:t>
      </w:r>
      <w:r>
        <w:rPr>
          <w:rStyle w:val="12"/>
          <w:rFonts w:hint="eastAsia" w:ascii="宋体" w:hAnsi="宋体"/>
          <w:b w:val="0"/>
          <w:bCs w:val="0"/>
          <w:sz w:val="24"/>
          <w:szCs w:val="24"/>
        </w:rPr>
        <w:t>未上市基金估值</w:t>
      </w:r>
    </w:p>
    <w:p w14:paraId="19E57B2A">
      <w:pPr>
        <w:spacing w:line="360" w:lineRule="auto"/>
        <w:ind w:firstLine="480" w:firstLineChars="200"/>
        <w:rPr>
          <w:rStyle w:val="12"/>
          <w:rFonts w:ascii="宋体" w:hAnsi="宋体"/>
          <w:b w:val="0"/>
          <w:bCs w:val="0"/>
          <w:sz w:val="24"/>
        </w:rPr>
      </w:pPr>
      <w:r>
        <w:rPr>
          <w:rStyle w:val="12"/>
          <w:rFonts w:hint="eastAsia" w:ascii="宋体" w:hAnsi="宋体"/>
          <w:b w:val="0"/>
          <w:bCs w:val="0"/>
          <w:sz w:val="24"/>
          <w:szCs w:val="24"/>
        </w:rPr>
        <w:t>境内未上市的货币市场基金以成本估值，按所投资基金前一估值日后至估值日期间（含节假日）的万份收益计提估值日基金收益。</w:t>
      </w:r>
    </w:p>
    <w:p w14:paraId="6225D810">
      <w:pPr>
        <w:spacing w:line="360" w:lineRule="auto"/>
        <w:ind w:firstLine="480" w:firstLineChars="200"/>
        <w:rPr>
          <w:rStyle w:val="12"/>
          <w:rFonts w:ascii="宋体" w:hAnsi="宋体"/>
          <w:b w:val="0"/>
          <w:bCs w:val="0"/>
          <w:sz w:val="24"/>
          <w:szCs w:val="24"/>
        </w:rPr>
      </w:pPr>
      <w:r>
        <w:rPr>
          <w:rStyle w:val="12"/>
          <w:rFonts w:hint="eastAsia" w:ascii="宋体" w:hAnsi="宋体"/>
          <w:b w:val="0"/>
          <w:bCs w:val="0"/>
          <w:sz w:val="24"/>
          <w:szCs w:val="24"/>
        </w:rPr>
        <w:t>境内未上市的非货币市场基金，估值日按所投资基金公布的最新份额净值估值。</w:t>
      </w:r>
    </w:p>
    <w:p w14:paraId="7B6C80FC">
      <w:pPr>
        <w:spacing w:line="360" w:lineRule="auto"/>
        <w:ind w:firstLine="480" w:firstLineChars="200"/>
        <w:rPr>
          <w:rStyle w:val="12"/>
          <w:rFonts w:ascii="宋体" w:hAnsi="宋体" w:cs="Times New Roman"/>
          <w:b w:val="0"/>
          <w:bCs w:val="0"/>
          <w:sz w:val="24"/>
          <w:szCs w:val="24"/>
        </w:rPr>
      </w:pPr>
      <w:r>
        <w:rPr>
          <w:rStyle w:val="12"/>
          <w:rFonts w:ascii="宋体" w:hAnsi="宋体"/>
          <w:b w:val="0"/>
          <w:bCs w:val="0"/>
          <w:sz w:val="24"/>
          <w:szCs w:val="24"/>
        </w:rPr>
        <w:t xml:space="preserve">5.3.4  </w:t>
      </w:r>
      <w:r>
        <w:rPr>
          <w:rStyle w:val="12"/>
          <w:rFonts w:hint="eastAsia" w:ascii="宋体" w:hAnsi="宋体"/>
          <w:b w:val="0"/>
          <w:bCs w:val="0"/>
          <w:sz w:val="24"/>
          <w:szCs w:val="24"/>
        </w:rPr>
        <w:t>非证券交易所上市的资产管理产品</w:t>
      </w:r>
    </w:p>
    <w:p w14:paraId="1E87CBDF">
      <w:pPr>
        <w:spacing w:line="360" w:lineRule="auto"/>
        <w:ind w:firstLine="480" w:firstLineChars="200"/>
        <w:rPr>
          <w:rStyle w:val="12"/>
          <w:rFonts w:ascii="宋体" w:hAnsi="宋体" w:cs="Times New Roman"/>
          <w:b w:val="0"/>
          <w:bCs w:val="0"/>
          <w:sz w:val="24"/>
          <w:szCs w:val="24"/>
        </w:rPr>
      </w:pPr>
      <w:r>
        <w:rPr>
          <w:rStyle w:val="12"/>
          <w:rFonts w:hint="eastAsia" w:ascii="宋体" w:hAnsi="宋体"/>
          <w:b w:val="0"/>
          <w:bCs w:val="0"/>
          <w:sz w:val="24"/>
          <w:szCs w:val="24"/>
        </w:rPr>
        <w:t>估值日资产管理人提供</w:t>
      </w:r>
      <w:r>
        <w:rPr>
          <w:rStyle w:val="12"/>
          <w:rFonts w:hint="eastAsia" w:ascii="宋体" w:hAnsi="宋体"/>
          <w:b w:val="0"/>
          <w:bCs w:val="0"/>
          <w:sz w:val="24"/>
          <w:szCs w:val="24"/>
          <w:lang w:eastAsia="zh-CN"/>
        </w:rPr>
        <w:t>份额净值</w:t>
      </w:r>
      <w:r>
        <w:rPr>
          <w:rStyle w:val="12"/>
          <w:rFonts w:hint="eastAsia" w:ascii="宋体" w:hAnsi="宋体"/>
          <w:b w:val="0"/>
          <w:bCs w:val="0"/>
          <w:sz w:val="24"/>
          <w:szCs w:val="24"/>
        </w:rPr>
        <w:t>的，按资产管理人提供的</w:t>
      </w:r>
      <w:r>
        <w:rPr>
          <w:rStyle w:val="12"/>
          <w:rFonts w:hint="eastAsia" w:ascii="宋体" w:hAnsi="宋体"/>
          <w:b w:val="0"/>
          <w:bCs w:val="0"/>
          <w:sz w:val="24"/>
          <w:szCs w:val="24"/>
          <w:lang w:eastAsia="zh-CN"/>
        </w:rPr>
        <w:t>份额净值</w:t>
      </w:r>
      <w:r>
        <w:rPr>
          <w:rStyle w:val="12"/>
          <w:rFonts w:hint="eastAsia" w:ascii="宋体" w:hAnsi="宋体"/>
          <w:b w:val="0"/>
          <w:bCs w:val="0"/>
          <w:sz w:val="24"/>
          <w:szCs w:val="24"/>
        </w:rPr>
        <w:t>估值；估值日资产管理人未提供</w:t>
      </w:r>
      <w:r>
        <w:rPr>
          <w:rStyle w:val="12"/>
          <w:rFonts w:hint="eastAsia" w:ascii="宋体" w:hAnsi="宋体"/>
          <w:b w:val="0"/>
          <w:bCs w:val="0"/>
          <w:sz w:val="24"/>
          <w:szCs w:val="24"/>
          <w:lang w:eastAsia="zh-CN"/>
        </w:rPr>
        <w:t>份额净值</w:t>
      </w:r>
      <w:r>
        <w:rPr>
          <w:rStyle w:val="12"/>
          <w:rFonts w:hint="eastAsia" w:ascii="宋体" w:hAnsi="宋体"/>
          <w:b w:val="0"/>
          <w:bCs w:val="0"/>
          <w:sz w:val="24"/>
          <w:szCs w:val="24"/>
        </w:rPr>
        <w:t>，参考最近可获取的</w:t>
      </w:r>
      <w:r>
        <w:rPr>
          <w:rStyle w:val="12"/>
          <w:rFonts w:hint="eastAsia" w:ascii="宋体" w:hAnsi="宋体"/>
          <w:b w:val="0"/>
          <w:bCs w:val="0"/>
          <w:sz w:val="24"/>
          <w:szCs w:val="24"/>
          <w:lang w:eastAsia="zh-CN"/>
        </w:rPr>
        <w:t>份额净值</w:t>
      </w:r>
      <w:r>
        <w:rPr>
          <w:rStyle w:val="12"/>
          <w:rFonts w:hint="eastAsia" w:ascii="宋体" w:hAnsi="宋体"/>
          <w:b w:val="0"/>
          <w:bCs w:val="0"/>
          <w:sz w:val="24"/>
          <w:szCs w:val="24"/>
        </w:rPr>
        <w:t>确定公允价值。</w:t>
      </w:r>
    </w:p>
    <w:p w14:paraId="56C53376">
      <w:pPr>
        <w:spacing w:line="360" w:lineRule="auto"/>
        <w:ind w:firstLine="480" w:firstLineChars="200"/>
        <w:rPr>
          <w:rStyle w:val="12"/>
          <w:rFonts w:ascii="宋体" w:hAnsi="宋体"/>
          <w:b w:val="0"/>
          <w:bCs w:val="0"/>
          <w:sz w:val="24"/>
        </w:rPr>
      </w:pPr>
      <w:r>
        <w:rPr>
          <w:rStyle w:val="12"/>
          <w:rFonts w:ascii="宋体" w:hAnsi="宋体"/>
          <w:b w:val="0"/>
          <w:bCs w:val="0"/>
          <w:sz w:val="24"/>
          <w:szCs w:val="24"/>
        </w:rPr>
        <w:t xml:space="preserve">5.3.5  </w:t>
      </w:r>
      <w:r>
        <w:rPr>
          <w:rStyle w:val="12"/>
          <w:rFonts w:hint="eastAsia" w:ascii="宋体" w:hAnsi="宋体"/>
          <w:b w:val="0"/>
          <w:bCs w:val="0"/>
          <w:sz w:val="24"/>
          <w:szCs w:val="24"/>
        </w:rPr>
        <w:t>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9FD840">
      <w:pPr>
        <w:spacing w:line="360" w:lineRule="auto"/>
        <w:ind w:firstLine="480" w:firstLineChars="200"/>
        <w:rPr>
          <w:rStyle w:val="12"/>
          <w:rFonts w:ascii="宋体" w:hAnsi="宋体"/>
          <w:b w:val="0"/>
          <w:bCs w:val="0"/>
          <w:sz w:val="24"/>
        </w:rPr>
      </w:pPr>
      <w:r>
        <w:rPr>
          <w:rStyle w:val="12"/>
          <w:rFonts w:ascii="宋体" w:hAnsi="宋体"/>
          <w:b w:val="0"/>
          <w:bCs w:val="0"/>
          <w:sz w:val="24"/>
          <w:szCs w:val="24"/>
        </w:rPr>
        <w:t xml:space="preserve">5.3.6  </w:t>
      </w:r>
      <w:r>
        <w:rPr>
          <w:rStyle w:val="12"/>
          <w:rFonts w:hint="eastAsia" w:ascii="宋体" w:hAnsi="宋体"/>
          <w:b w:val="0"/>
          <w:bCs w:val="0"/>
          <w:sz w:val="24"/>
          <w:szCs w:val="24"/>
        </w:rPr>
        <w:t>若本产品存续期间持有其他上述条款未包含的投资品种，遵照会计准则及监管政策等要求，以产品管理人和托管人共同认可的方法估值。</w:t>
      </w:r>
    </w:p>
    <w:p w14:paraId="39DE8512">
      <w:pPr>
        <w:spacing w:line="360" w:lineRule="auto"/>
        <w:ind w:firstLine="480" w:firstLineChars="200"/>
        <w:rPr>
          <w:rStyle w:val="12"/>
          <w:rFonts w:ascii="宋体" w:hAnsi="宋体"/>
          <w:b w:val="0"/>
          <w:bCs w:val="0"/>
          <w:sz w:val="24"/>
        </w:rPr>
      </w:pPr>
      <w:r>
        <w:rPr>
          <w:rStyle w:val="12"/>
          <w:rFonts w:ascii="宋体" w:hAnsi="宋体"/>
          <w:b w:val="0"/>
          <w:bCs w:val="0"/>
          <w:sz w:val="24"/>
          <w:szCs w:val="24"/>
        </w:rPr>
        <w:t xml:space="preserve">5.3.7  </w:t>
      </w:r>
      <w:r>
        <w:rPr>
          <w:rStyle w:val="12"/>
          <w:rFonts w:hint="eastAsia" w:ascii="宋体" w:hAnsi="宋体"/>
          <w:b w:val="0"/>
          <w:bCs w:val="0"/>
          <w:sz w:val="24"/>
          <w:szCs w:val="24"/>
        </w:rPr>
        <w:t>在任何情况下，如采用以上规定的方法对资产进行估值，均应被认为采用了适当的估值方法。但是，如果管理人或托管人认为按以上规定的方法对本产品资产进行估值不能客观反映其公允价值的，可协商一致后，变更其估值方式，并从协商一致日起执行。</w:t>
      </w:r>
    </w:p>
    <w:p w14:paraId="1C1770DE">
      <w:pPr>
        <w:spacing w:line="360" w:lineRule="auto"/>
        <w:ind w:firstLine="480" w:firstLineChars="200"/>
        <w:rPr>
          <w:rStyle w:val="12"/>
          <w:rFonts w:ascii="宋体" w:hAnsi="宋体"/>
          <w:b w:val="0"/>
          <w:bCs w:val="0"/>
          <w:sz w:val="24"/>
          <w:szCs w:val="24"/>
        </w:rPr>
      </w:pPr>
      <w:r>
        <w:rPr>
          <w:rStyle w:val="12"/>
          <w:rFonts w:ascii="宋体" w:hAnsi="宋体"/>
          <w:b w:val="0"/>
          <w:bCs w:val="0"/>
          <w:sz w:val="24"/>
          <w:szCs w:val="24"/>
        </w:rPr>
        <w:t xml:space="preserve">5.3.8  </w:t>
      </w:r>
      <w:r>
        <w:rPr>
          <w:rStyle w:val="12"/>
          <w:rFonts w:hint="eastAsia" w:ascii="宋体" w:hAnsi="宋体"/>
          <w:b w:val="0"/>
          <w:bCs w:val="0"/>
          <w:sz w:val="24"/>
          <w:szCs w:val="24"/>
        </w:rPr>
        <w:t>对于以上估值方法，相关法律法规以及监管部门有另行规定的，按照监管最新规定执行。</w:t>
      </w:r>
    </w:p>
    <w:p w14:paraId="315E6CA6">
      <w:pPr>
        <w:spacing w:line="360" w:lineRule="auto"/>
        <w:ind w:firstLine="480" w:firstLineChars="200"/>
        <w:outlineLvl w:val="1"/>
        <w:rPr>
          <w:rStyle w:val="12"/>
          <w:rFonts w:ascii="宋体" w:hAnsi="宋体"/>
          <w:b w:val="0"/>
          <w:bCs w:val="0"/>
          <w:sz w:val="24"/>
          <w:szCs w:val="24"/>
        </w:rPr>
      </w:pPr>
      <w:r>
        <w:rPr>
          <w:rStyle w:val="12"/>
          <w:rFonts w:hint="eastAsia" w:ascii="宋体" w:hAnsi="宋体"/>
          <w:b w:val="0"/>
          <w:bCs w:val="0"/>
          <w:sz w:val="24"/>
          <w:szCs w:val="24"/>
        </w:rPr>
        <w:t>5</w:t>
      </w:r>
      <w:r>
        <w:rPr>
          <w:rStyle w:val="12"/>
          <w:rFonts w:ascii="宋体" w:hAnsi="宋体"/>
          <w:b w:val="0"/>
          <w:bCs w:val="0"/>
          <w:sz w:val="24"/>
          <w:szCs w:val="24"/>
        </w:rPr>
        <w:t xml:space="preserve">.4  </w:t>
      </w:r>
      <w:r>
        <w:rPr>
          <w:rStyle w:val="12"/>
          <w:rFonts w:hint="eastAsia" w:ascii="宋体" w:hAnsi="宋体"/>
          <w:b w:val="0"/>
          <w:bCs w:val="0"/>
          <w:sz w:val="24"/>
          <w:szCs w:val="24"/>
        </w:rPr>
        <w:t>暂停估值的情形</w:t>
      </w:r>
    </w:p>
    <w:p w14:paraId="156C87A1">
      <w:pPr>
        <w:spacing w:line="360" w:lineRule="auto"/>
        <w:ind w:firstLine="480" w:firstLineChars="200"/>
        <w:rPr>
          <w:rStyle w:val="12"/>
          <w:rFonts w:ascii="宋体" w:hAnsi="宋体"/>
          <w:b w:val="0"/>
          <w:bCs w:val="0"/>
          <w:sz w:val="24"/>
        </w:rPr>
      </w:pPr>
      <w:r>
        <w:rPr>
          <w:rFonts w:ascii="宋体" w:hAnsi="宋体"/>
          <w:color w:val="000000"/>
          <w:sz w:val="24"/>
          <w:szCs w:val="24"/>
        </w:rPr>
        <w:t>若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赎回申请等措施。</w:t>
      </w:r>
    </w:p>
    <w:p w14:paraId="28080A2C">
      <w:pPr>
        <w:spacing w:line="360" w:lineRule="auto"/>
        <w:outlineLvl w:val="0"/>
        <w:rPr>
          <w:rStyle w:val="12"/>
          <w:rFonts w:ascii="黑体" w:hAnsi="黑体" w:eastAsia="黑体" w:cs="黑体"/>
          <w:bCs w:val="0"/>
          <w:sz w:val="24"/>
          <w:szCs w:val="24"/>
        </w:rPr>
      </w:pPr>
      <w:r>
        <w:rPr>
          <w:rStyle w:val="12"/>
          <w:rFonts w:hint="eastAsia" w:ascii="黑体" w:hAnsi="黑体" w:eastAsia="黑体" w:cs="黑体"/>
          <w:b w:val="0"/>
          <w:sz w:val="24"/>
          <w:szCs w:val="24"/>
        </w:rPr>
        <w:t xml:space="preserve">    </w:t>
      </w:r>
      <w:r>
        <w:rPr>
          <w:rStyle w:val="12"/>
          <w:rFonts w:hint="eastAsia" w:ascii="黑体" w:hAnsi="黑体" w:eastAsia="黑体" w:cs="黑体"/>
          <w:bCs w:val="0"/>
          <w:sz w:val="24"/>
          <w:szCs w:val="24"/>
        </w:rPr>
        <w:t>第六条  收益计算及支付</w:t>
      </w:r>
    </w:p>
    <w:p w14:paraId="6FAF9793">
      <w:pPr>
        <w:spacing w:line="360" w:lineRule="auto"/>
        <w:ind w:firstLine="480" w:firstLineChars="200"/>
        <w:outlineLvl w:val="1"/>
        <w:rPr>
          <w:rStyle w:val="12"/>
          <w:rFonts w:ascii="宋体" w:hAnsi="宋体"/>
          <w:b w:val="0"/>
          <w:sz w:val="24"/>
          <w:szCs w:val="24"/>
        </w:rPr>
      </w:pPr>
      <w:r>
        <w:rPr>
          <w:rStyle w:val="12"/>
          <w:rFonts w:ascii="宋体" w:hAnsi="宋体"/>
          <w:b w:val="0"/>
          <w:sz w:val="24"/>
          <w:szCs w:val="24"/>
        </w:rPr>
        <w:t>6</w:t>
      </w:r>
      <w:r>
        <w:rPr>
          <w:rStyle w:val="12"/>
          <w:rFonts w:hint="eastAsia" w:ascii="宋体" w:hAnsi="宋体"/>
          <w:b w:val="0"/>
          <w:sz w:val="24"/>
          <w:szCs w:val="24"/>
        </w:rPr>
        <w:t>.</w:t>
      </w:r>
      <w:r>
        <w:rPr>
          <w:rStyle w:val="12"/>
          <w:rFonts w:hint="eastAsia" w:ascii="宋体" w:hAnsi="宋体"/>
          <w:b w:val="0"/>
          <w:sz w:val="24"/>
          <w:szCs w:val="24"/>
          <w:lang w:val="en-US" w:eastAsia="zh-CN"/>
        </w:rPr>
        <w:t>1</w:t>
      </w:r>
      <w:r>
        <w:rPr>
          <w:rStyle w:val="12"/>
          <w:rFonts w:hint="eastAsia" w:ascii="宋体" w:hAnsi="宋体"/>
          <w:b w:val="0"/>
          <w:sz w:val="24"/>
          <w:szCs w:val="24"/>
        </w:rPr>
        <w:t xml:space="preserve"> 收益支付方式</w:t>
      </w:r>
    </w:p>
    <w:p w14:paraId="7CF9207C">
      <w:pPr>
        <w:widowControl/>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在不发生本产品所提示风险的情况下，赎回资金将于清算日后3个工作日内（每日银行账务系统换日时间为24：00，如遇年终结算等特殊情况延迟）划转至投资者账户。</w:t>
      </w:r>
    </w:p>
    <w:p w14:paraId="5BF0A63E">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w:t>
      </w:r>
      <w:r>
        <w:rPr>
          <w:rStyle w:val="12"/>
          <w:rFonts w:hint="eastAsia" w:ascii="宋体" w:hAnsi="宋体"/>
          <w:b w:val="0"/>
          <w:sz w:val="24"/>
          <w:szCs w:val="24"/>
        </w:rPr>
        <w:t>赎回金额计算</w:t>
      </w:r>
    </w:p>
    <w:p w14:paraId="57728028">
      <w:pPr>
        <w:spacing w:line="360" w:lineRule="auto"/>
        <w:ind w:firstLine="480" w:firstLineChars="200"/>
        <w:rPr>
          <w:rStyle w:val="12"/>
          <w:rFonts w:ascii="宋体" w:hAnsi="宋体"/>
          <w:b w:val="0"/>
          <w:sz w:val="24"/>
          <w:szCs w:val="24"/>
        </w:rPr>
      </w:pPr>
      <w:r>
        <w:rPr>
          <w:rFonts w:hint="eastAsia" w:asciiTheme="minorEastAsia" w:hAnsiTheme="minorEastAsia" w:eastAsiaTheme="minorEastAsia" w:cstheme="minorEastAsia"/>
          <w:sz w:val="24"/>
          <w:szCs w:val="24"/>
        </w:rPr>
        <w:t>投资者赎回金额按照</w:t>
      </w:r>
      <w:r>
        <w:rPr>
          <w:rFonts w:hint="eastAsia" w:asciiTheme="minorEastAsia" w:hAnsiTheme="minorEastAsia" w:eastAsiaTheme="minorEastAsia" w:cstheme="minorEastAsia"/>
          <w:sz w:val="24"/>
          <w:szCs w:val="24"/>
          <w:lang w:val="en-US" w:eastAsia="zh-CN"/>
        </w:rPr>
        <w:t>产品到期</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上一工作日</w:t>
      </w:r>
      <w:r>
        <w:rPr>
          <w:rFonts w:hint="eastAsia" w:asciiTheme="minorEastAsia" w:hAnsiTheme="minorEastAsia" w:eastAsiaTheme="minorEastAsia" w:cstheme="minorEastAsia"/>
          <w:sz w:val="24"/>
          <w:szCs w:val="24"/>
        </w:rPr>
        <w:t>产品</w:t>
      </w:r>
      <w:r>
        <w:rPr>
          <w:rFonts w:hint="eastAsia" w:asciiTheme="minorEastAsia" w:hAnsiTheme="minorEastAsia" w:eastAsiaTheme="minorEastAsia" w:cstheme="minorEastAsia"/>
          <w:sz w:val="24"/>
          <w:szCs w:val="24"/>
          <w:lang w:eastAsia="zh-CN"/>
        </w:rPr>
        <w:t>份额净值</w:t>
      </w:r>
      <w:r>
        <w:rPr>
          <w:rFonts w:hint="eastAsia" w:asciiTheme="minorEastAsia" w:hAnsiTheme="minorEastAsia" w:eastAsiaTheme="minorEastAsia" w:cstheme="minorEastAsia"/>
          <w:sz w:val="24"/>
          <w:szCs w:val="24"/>
        </w:rPr>
        <w:t>计算，计算结果按截位法保留两位小数。</w:t>
      </w:r>
    </w:p>
    <w:p w14:paraId="3E888941">
      <w:pPr>
        <w:spacing w:line="360" w:lineRule="auto"/>
        <w:ind w:firstLine="482" w:firstLineChars="200"/>
        <w:outlineLvl w:val="0"/>
        <w:rPr>
          <w:rFonts w:ascii="黑体" w:hAnsi="黑体" w:eastAsia="黑体" w:cs="黑体"/>
          <w:b/>
          <w:sz w:val="24"/>
          <w:szCs w:val="24"/>
        </w:rPr>
      </w:pPr>
      <w:r>
        <w:rPr>
          <w:rFonts w:hint="eastAsia" w:ascii="黑体" w:hAnsi="黑体" w:eastAsia="黑体" w:cs="黑体"/>
          <w:b/>
          <w:sz w:val="24"/>
          <w:szCs w:val="24"/>
        </w:rPr>
        <w:t xml:space="preserve">第七条  </w:t>
      </w:r>
      <w:bookmarkStart w:id="3" w:name="_Hlk114558679"/>
      <w:r>
        <w:rPr>
          <w:rFonts w:hint="eastAsia" w:ascii="黑体" w:hAnsi="黑体" w:eastAsia="黑体" w:cs="黑体"/>
          <w:b/>
          <w:sz w:val="24"/>
          <w:szCs w:val="24"/>
        </w:rPr>
        <w:t>产品费用</w:t>
      </w:r>
      <w:bookmarkEnd w:id="3"/>
      <w:r>
        <w:rPr>
          <w:rFonts w:ascii="黑体" w:hAnsi="黑体" w:eastAsia="黑体" w:cs="黑体"/>
          <w:b/>
          <w:sz w:val="24"/>
          <w:szCs w:val="24"/>
        </w:rPr>
        <w:t xml:space="preserve"> </w:t>
      </w:r>
    </w:p>
    <w:p w14:paraId="0C473F5C">
      <w:pPr>
        <w:widowControl/>
        <w:numPr>
          <w:ilvl w:val="255"/>
          <w:numId w:val="0"/>
        </w:num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.1  税收：根据财政部、国家税务总局相关税收监管政策的规定，资管产品运营过程中发生的增值税应税行为包括贷款服务和金融商品转让，以资管产品管理人为增值税纳税人，计算、申报并缴纳增值税及附加税费（包括但不限于城市维护建设税、教育费附加及地方教育附加等）。</w:t>
      </w:r>
      <w:r>
        <w:rPr>
          <w:rFonts w:hint="eastAsia" w:ascii="宋体" w:hAnsi="宋体" w:cs="宋体"/>
          <w:b/>
          <w:sz w:val="24"/>
          <w:szCs w:val="24"/>
        </w:rPr>
        <w:t>贵州银行作为该理财产品管理人,将按照相关规定计算应缴纳的税费，并从理财产品财产中支付，由此可能会使理财产品净值或实际收益降低，请投资者知悉。</w:t>
      </w:r>
      <w:r>
        <w:rPr>
          <w:rFonts w:hint="eastAsia" w:ascii="宋体" w:hAnsi="宋体" w:cs="宋体"/>
          <w:bCs/>
          <w:sz w:val="24"/>
          <w:szCs w:val="24"/>
        </w:rPr>
        <w:t>后续国家法律法规如对相关税收政策进行调整，产品管理人有权根据税收政策相应调整理财产品运营过程中发生的税费的承担方式。</w:t>
      </w:r>
    </w:p>
    <w:p w14:paraId="0628487D">
      <w:pPr>
        <w:widowControl/>
        <w:spacing w:line="360" w:lineRule="auto"/>
        <w:ind w:firstLine="480" w:firstLineChars="200"/>
        <w:rPr>
          <w:rFonts w:ascii="宋体" w:hAnsi="宋体" w:cs="宋体"/>
          <w:bCs/>
          <w:sz w:val="24"/>
          <w:szCs w:val="24"/>
        </w:rPr>
      </w:pPr>
      <w:r>
        <w:rPr>
          <w:rFonts w:hint="eastAsia" w:ascii="宋体" w:hAnsi="宋体" w:cs="宋体"/>
          <w:bCs/>
          <w:sz w:val="24"/>
          <w:szCs w:val="24"/>
        </w:rPr>
        <w:t>投资者</w:t>
      </w:r>
      <w:r>
        <w:rPr>
          <w:rFonts w:hint="eastAsia" w:ascii="宋体" w:hAnsi="宋体" w:cs="宋体"/>
          <w:sz w:val="24"/>
          <w:szCs w:val="24"/>
        </w:rPr>
        <w:t>购买本产品所得收益应缴纳的各项税款</w:t>
      </w:r>
      <w:r>
        <w:rPr>
          <w:rFonts w:hint="eastAsia" w:ascii="宋体" w:hAnsi="宋体" w:cs="宋体"/>
          <w:bCs/>
          <w:sz w:val="24"/>
          <w:szCs w:val="24"/>
        </w:rPr>
        <w:t>，由投资者自行申报及缴纳，</w:t>
      </w:r>
      <w:r>
        <w:rPr>
          <w:rFonts w:hint="eastAsia" w:ascii="宋体" w:hAnsi="宋体" w:cs="宋体"/>
          <w:sz w:val="24"/>
          <w:szCs w:val="24"/>
        </w:rPr>
        <w:t>产品管理人不负责代扣代缴。</w:t>
      </w:r>
      <w:r>
        <w:rPr>
          <w:rFonts w:hint="eastAsia" w:ascii="宋体" w:hAnsi="宋体" w:cs="宋体"/>
          <w:bCs/>
          <w:sz w:val="24"/>
          <w:szCs w:val="24"/>
        </w:rPr>
        <w:t xml:space="preserve">若后续相关税收法规规定产品管理人应代扣代缴相关税款，产品管理人有权依法履行代扣代缴义务，投资者对此应给予配合。 </w:t>
      </w:r>
    </w:p>
    <w:p w14:paraId="7EEC1B60">
      <w:p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.2  固定管理费：贵州银行作为该理财产品管理人收取的固定管理费用。本产品固定管理费按日计提，根据管理人指令支付，由贵州银行收取。计算方法如下：</w:t>
      </w:r>
    </w:p>
    <w:p w14:paraId="7E7AA92A">
      <w:pPr>
        <w:spacing w:line="360" w:lineRule="auto"/>
        <w:ind w:firstLine="480" w:firstLineChars="200"/>
        <w:rPr>
          <w:rFonts w:ascii="宋体" w:hAnsi="宋体" w:cs="宋体"/>
          <w:bCs/>
          <w:sz w:val="24"/>
          <w:szCs w:val="24"/>
        </w:rPr>
      </w:pPr>
      <w:r>
        <w:rPr>
          <w:rFonts w:hint="eastAsia" w:ascii="宋体" w:hAnsi="宋体" w:cs="宋体"/>
          <w:bCs/>
          <w:sz w:val="24"/>
          <w:szCs w:val="24"/>
        </w:rPr>
        <w:t>H＝E*</w:t>
      </w:r>
      <w:r>
        <w:rPr>
          <w:rFonts w:ascii="宋体" w:hAnsi="宋体" w:cs="宋体"/>
          <w:bCs/>
          <w:sz w:val="24"/>
          <w:szCs w:val="24"/>
          <w:u w:val="single"/>
        </w:rPr>
        <w:t>F</w:t>
      </w:r>
      <w:r>
        <w:rPr>
          <w:rFonts w:hint="eastAsia" w:ascii="宋体" w:hAnsi="宋体" w:cs="宋体"/>
          <w:bCs/>
          <w:sz w:val="24"/>
          <w:szCs w:val="24"/>
        </w:rPr>
        <w:t>÷365；</w:t>
      </w:r>
    </w:p>
    <w:p w14:paraId="300C1EAE">
      <w:pPr>
        <w:spacing w:line="360" w:lineRule="auto"/>
        <w:ind w:firstLine="480" w:firstLineChars="200"/>
        <w:rPr>
          <w:rFonts w:ascii="宋体" w:hAnsi="宋体" w:cs="宋体"/>
          <w:bCs/>
          <w:sz w:val="24"/>
          <w:szCs w:val="24"/>
        </w:rPr>
      </w:pPr>
      <w:r>
        <w:rPr>
          <w:rFonts w:hint="eastAsia" w:ascii="宋体" w:hAnsi="宋体" w:cs="宋体"/>
          <w:bCs/>
          <w:sz w:val="24"/>
          <w:szCs w:val="24"/>
        </w:rPr>
        <w:t>H为每日应计提的固定管理费；</w:t>
      </w:r>
    </w:p>
    <w:p w14:paraId="502894C3">
      <w:pPr>
        <w:spacing w:line="360" w:lineRule="auto"/>
        <w:ind w:firstLine="480" w:firstLineChars="200"/>
        <w:rPr>
          <w:rFonts w:ascii="宋体" w:hAnsi="宋体" w:cs="宋体"/>
          <w:bCs/>
          <w:sz w:val="24"/>
          <w:szCs w:val="24"/>
        </w:rPr>
      </w:pPr>
      <w:r>
        <w:rPr>
          <w:rFonts w:hint="eastAsia" w:ascii="宋体" w:hAnsi="宋体" w:cs="宋体"/>
          <w:bCs/>
          <w:sz w:val="24"/>
          <w:szCs w:val="24"/>
        </w:rPr>
        <w:t>E为前一日资产净值；</w:t>
      </w:r>
    </w:p>
    <w:p w14:paraId="336B90E7">
      <w:pPr>
        <w:spacing w:line="360" w:lineRule="auto"/>
        <w:ind w:firstLine="480" w:firstLineChars="200"/>
        <w:rPr>
          <w:rFonts w:ascii="宋体" w:hAnsi="宋体" w:cs="宋体"/>
          <w:bCs/>
          <w:sz w:val="24"/>
          <w:szCs w:val="24"/>
        </w:rPr>
      </w:pPr>
      <w:r>
        <w:rPr>
          <w:rFonts w:hint="eastAsia" w:ascii="宋体" w:hAnsi="宋体" w:cs="宋体"/>
          <w:bCs/>
          <w:sz w:val="24"/>
          <w:szCs w:val="24"/>
        </w:rPr>
        <w:t>F为年化固定管理费率。</w:t>
      </w:r>
    </w:p>
    <w:p w14:paraId="53A101B4">
      <w:p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 xml:space="preserve">.3  托管费：托管人收取的托管费用。本产品的托管费按日计提，根据管理人指令支付。计算方法如下： </w:t>
      </w:r>
    </w:p>
    <w:p w14:paraId="0507D1AA">
      <w:pPr>
        <w:spacing w:line="360" w:lineRule="auto"/>
        <w:ind w:firstLine="480" w:firstLineChars="200"/>
        <w:rPr>
          <w:rFonts w:ascii="宋体" w:hAnsi="宋体" w:cs="宋体"/>
          <w:bCs/>
          <w:sz w:val="24"/>
          <w:szCs w:val="24"/>
        </w:rPr>
      </w:pPr>
      <w:r>
        <w:rPr>
          <w:rFonts w:ascii="宋体" w:hAnsi="宋体" w:cs="宋体"/>
          <w:bCs/>
          <w:sz w:val="24"/>
          <w:szCs w:val="24"/>
        </w:rPr>
        <w:t>I</w:t>
      </w:r>
      <w:r>
        <w:rPr>
          <w:rFonts w:hint="eastAsia" w:ascii="宋体" w:hAnsi="宋体" w:cs="宋体"/>
          <w:bCs/>
          <w:sz w:val="24"/>
          <w:szCs w:val="24"/>
        </w:rPr>
        <w:t>＝E*</w:t>
      </w:r>
      <w:r>
        <w:rPr>
          <w:rFonts w:ascii="宋体" w:hAnsi="宋体" w:cs="宋体"/>
          <w:bCs/>
          <w:sz w:val="24"/>
          <w:szCs w:val="24"/>
          <w:u w:val="single"/>
        </w:rPr>
        <w:t>G</w:t>
      </w:r>
      <w:r>
        <w:rPr>
          <w:rFonts w:hint="eastAsia" w:ascii="宋体" w:hAnsi="宋体" w:cs="宋体"/>
          <w:bCs/>
          <w:sz w:val="24"/>
          <w:szCs w:val="24"/>
        </w:rPr>
        <w:t>÷365；</w:t>
      </w:r>
    </w:p>
    <w:p w14:paraId="2C3D1D7B">
      <w:pPr>
        <w:spacing w:line="360" w:lineRule="auto"/>
        <w:ind w:firstLine="480" w:firstLineChars="200"/>
        <w:rPr>
          <w:rFonts w:ascii="宋体" w:hAnsi="宋体" w:cs="宋体"/>
          <w:bCs/>
          <w:sz w:val="24"/>
          <w:szCs w:val="24"/>
        </w:rPr>
      </w:pPr>
      <w:r>
        <w:rPr>
          <w:rFonts w:ascii="宋体" w:hAnsi="宋体" w:cs="宋体"/>
          <w:bCs/>
          <w:sz w:val="24"/>
          <w:szCs w:val="24"/>
        </w:rPr>
        <w:t>I</w:t>
      </w:r>
      <w:r>
        <w:rPr>
          <w:rFonts w:hint="eastAsia" w:ascii="宋体" w:hAnsi="宋体" w:cs="宋体"/>
          <w:bCs/>
          <w:sz w:val="24"/>
          <w:szCs w:val="24"/>
        </w:rPr>
        <w:t>为每日应计提的托管费；</w:t>
      </w:r>
    </w:p>
    <w:p w14:paraId="6AF7DB02">
      <w:pPr>
        <w:spacing w:line="360" w:lineRule="auto"/>
        <w:ind w:firstLine="480" w:firstLineChars="200"/>
        <w:rPr>
          <w:rFonts w:ascii="宋体" w:hAnsi="宋体" w:cs="宋体"/>
          <w:bCs/>
          <w:sz w:val="24"/>
          <w:szCs w:val="24"/>
        </w:rPr>
      </w:pPr>
      <w:r>
        <w:rPr>
          <w:rFonts w:hint="eastAsia" w:ascii="宋体" w:hAnsi="宋体" w:cs="宋体"/>
          <w:bCs/>
          <w:sz w:val="24"/>
          <w:szCs w:val="24"/>
        </w:rPr>
        <w:t>E为前一日资产净值；</w:t>
      </w:r>
    </w:p>
    <w:p w14:paraId="31B402A7">
      <w:pPr>
        <w:spacing w:line="360" w:lineRule="auto"/>
        <w:ind w:firstLine="480" w:firstLineChars="200"/>
        <w:rPr>
          <w:rFonts w:ascii="宋体" w:hAnsi="宋体" w:cs="宋体"/>
          <w:bCs/>
          <w:sz w:val="24"/>
          <w:szCs w:val="24"/>
        </w:rPr>
      </w:pPr>
      <w:r>
        <w:rPr>
          <w:rFonts w:ascii="宋体" w:hAnsi="宋体" w:cs="宋体"/>
          <w:bCs/>
          <w:sz w:val="24"/>
          <w:szCs w:val="24"/>
        </w:rPr>
        <w:t>G</w:t>
      </w:r>
      <w:r>
        <w:rPr>
          <w:rFonts w:hint="eastAsia" w:ascii="宋体" w:hAnsi="宋体" w:cs="宋体"/>
          <w:bCs/>
          <w:sz w:val="24"/>
          <w:szCs w:val="24"/>
        </w:rPr>
        <w:t>为年化托管费率。</w:t>
      </w:r>
    </w:p>
    <w:p w14:paraId="286F8275">
      <w:p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.4  销售费：其他机构代销贵州银行理财产品（如有）收取的销售费用，年化费率、支付方式及支付频率根据实际销售合同确定。</w:t>
      </w:r>
    </w:p>
    <w:p w14:paraId="6E0DA3F8">
      <w:pPr>
        <w:spacing w:line="360" w:lineRule="auto"/>
        <w:ind w:firstLine="480" w:firstLineChars="200"/>
        <w:rPr>
          <w:rFonts w:ascii="宋体" w:hAnsi="宋体" w:cs="宋体"/>
          <w:bCs/>
          <w:sz w:val="24"/>
          <w:szCs w:val="24"/>
        </w:rPr>
      </w:pPr>
      <w:r>
        <w:rPr>
          <w:rFonts w:ascii="宋体" w:hAnsi="宋体" w:cs="宋体"/>
          <w:bCs/>
          <w:sz w:val="24"/>
          <w:szCs w:val="24"/>
        </w:rPr>
        <w:t>7</w:t>
      </w:r>
      <w:r>
        <w:rPr>
          <w:rFonts w:hint="eastAsia" w:ascii="宋体" w:hAnsi="宋体" w:cs="宋体"/>
          <w:bCs/>
          <w:sz w:val="24"/>
          <w:szCs w:val="24"/>
        </w:rPr>
        <w:t>.5  其他费用：审计费、律师费、交易相关费用以及应监管要求所发生的各项管理费用等。</w:t>
      </w:r>
    </w:p>
    <w:p w14:paraId="2B42E16D">
      <w:pPr>
        <w:spacing w:line="360" w:lineRule="auto"/>
        <w:ind w:firstLine="482" w:firstLineChars="200"/>
        <w:outlineLvl w:val="0"/>
        <w:rPr>
          <w:rStyle w:val="12"/>
          <w:rFonts w:ascii="黑体" w:hAnsi="黑体" w:eastAsia="黑体" w:cs="黑体"/>
          <w:sz w:val="24"/>
          <w:szCs w:val="24"/>
        </w:rPr>
      </w:pPr>
      <w:r>
        <w:rPr>
          <w:rStyle w:val="12"/>
          <w:rFonts w:hint="eastAsia" w:ascii="黑体" w:hAnsi="黑体" w:eastAsia="黑体" w:cs="黑体"/>
          <w:sz w:val="24"/>
          <w:szCs w:val="24"/>
        </w:rPr>
        <w:t>第八条  流动性安排</w:t>
      </w:r>
    </w:p>
    <w:p w14:paraId="33B8CE06">
      <w:pPr>
        <w:spacing w:line="360" w:lineRule="auto"/>
        <w:ind w:firstLine="480" w:firstLineChars="200"/>
        <w:outlineLvl w:val="1"/>
        <w:rPr>
          <w:rStyle w:val="12"/>
          <w:rFonts w:ascii="宋体" w:hAnsi="宋体" w:cs="宋体"/>
          <w:b w:val="0"/>
          <w:sz w:val="24"/>
          <w:szCs w:val="24"/>
        </w:rPr>
      </w:pPr>
      <w:r>
        <w:rPr>
          <w:rStyle w:val="12"/>
          <w:rFonts w:ascii="宋体" w:hAnsi="宋体" w:cs="宋体"/>
          <w:b w:val="0"/>
          <w:sz w:val="24"/>
          <w:szCs w:val="24"/>
        </w:rPr>
        <w:t>8</w:t>
      </w:r>
      <w:r>
        <w:rPr>
          <w:rStyle w:val="12"/>
          <w:rFonts w:hint="eastAsia" w:ascii="宋体" w:hAnsi="宋体" w:cs="宋体"/>
          <w:b w:val="0"/>
          <w:sz w:val="24"/>
          <w:szCs w:val="24"/>
        </w:rPr>
        <w:t>.1  提前终止的清算规则</w:t>
      </w:r>
    </w:p>
    <w:p w14:paraId="63105601">
      <w:pPr>
        <w:spacing w:line="360" w:lineRule="auto"/>
        <w:ind w:firstLine="480" w:firstLineChars="200"/>
        <w:rPr>
          <w:rFonts w:ascii="宋体" w:hAnsi="宋体" w:cs="宋体"/>
          <w:sz w:val="24"/>
          <w:szCs w:val="24"/>
        </w:rPr>
      </w:pPr>
      <w:r>
        <w:rPr>
          <w:rFonts w:hint="eastAsia" w:ascii="宋体" w:hAnsi="宋体" w:cs="宋体"/>
          <w:sz w:val="24"/>
          <w:szCs w:val="24"/>
        </w:rPr>
        <w:t>如贵州银行提前终止本理财产品，贵州银行将在提前终止后3个工作日内将投资者理财清算资金划转至投资者账户，清算资金计算方式为：</w:t>
      </w:r>
    </w:p>
    <w:p w14:paraId="05428E32">
      <w:pPr>
        <w:spacing w:line="360" w:lineRule="auto"/>
        <w:ind w:firstLine="480" w:firstLineChars="200"/>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清算资金=持有份额*</w:t>
      </w:r>
      <w:r>
        <w:rPr>
          <w:rStyle w:val="12"/>
          <w:rFonts w:hint="eastAsia" w:ascii="宋体" w:hAnsi="宋体"/>
          <w:b w:val="0"/>
          <w:sz w:val="24"/>
          <w:szCs w:val="24"/>
        </w:rPr>
        <w:t>终止日上一工作日产品</w:t>
      </w:r>
      <w:r>
        <w:rPr>
          <w:rStyle w:val="12"/>
          <w:rFonts w:hint="eastAsia" w:ascii="宋体" w:hAnsi="宋体"/>
          <w:b w:val="0"/>
          <w:sz w:val="24"/>
          <w:szCs w:val="24"/>
          <w:lang w:eastAsia="zh-CN"/>
        </w:rPr>
        <w:t>份额净值</w:t>
      </w:r>
    </w:p>
    <w:p w14:paraId="29AA4FC4">
      <w:pPr>
        <w:spacing w:line="360" w:lineRule="auto"/>
        <w:ind w:firstLine="480" w:firstLineChars="200"/>
        <w:outlineLvl w:val="1"/>
        <w:rPr>
          <w:rStyle w:val="12"/>
          <w:rFonts w:ascii="宋体" w:hAnsi="宋体" w:cs="宋体"/>
          <w:b w:val="0"/>
          <w:sz w:val="24"/>
          <w:szCs w:val="24"/>
        </w:rPr>
      </w:pPr>
      <w:r>
        <w:rPr>
          <w:rStyle w:val="12"/>
          <w:rFonts w:ascii="宋体" w:hAnsi="宋体" w:cs="宋体"/>
          <w:b w:val="0"/>
          <w:sz w:val="24"/>
          <w:szCs w:val="24"/>
        </w:rPr>
        <w:t>8</w:t>
      </w:r>
      <w:r>
        <w:rPr>
          <w:rStyle w:val="12"/>
          <w:rFonts w:hint="eastAsia" w:ascii="宋体" w:hAnsi="宋体" w:cs="宋体"/>
          <w:b w:val="0"/>
          <w:sz w:val="24"/>
          <w:szCs w:val="24"/>
        </w:rPr>
        <w:t>.2  认购的规则</w:t>
      </w:r>
    </w:p>
    <w:p w14:paraId="1716C333">
      <w:pPr>
        <w:spacing w:line="360" w:lineRule="auto"/>
        <w:ind w:firstLine="480" w:firstLineChars="200"/>
        <w:rPr>
          <w:rStyle w:val="12"/>
          <w:rFonts w:ascii="宋体" w:hAnsi="宋体" w:cs="宋体"/>
          <w:sz w:val="24"/>
          <w:szCs w:val="24"/>
        </w:rPr>
      </w:pPr>
      <w:r>
        <w:rPr>
          <w:rStyle w:val="12"/>
          <w:rFonts w:hint="eastAsia" w:ascii="宋体" w:hAnsi="宋体" w:cs="宋体"/>
          <w:b w:val="0"/>
          <w:sz w:val="24"/>
          <w:szCs w:val="24"/>
        </w:rPr>
        <w:t>认购期内，在贵州银行营业网点、电子渠道或代销渠道（如有）均可购买本期理财产品。</w:t>
      </w:r>
    </w:p>
    <w:p w14:paraId="601D3532">
      <w:pPr>
        <w:spacing w:line="360" w:lineRule="auto"/>
        <w:ind w:firstLine="480" w:firstLineChars="200"/>
        <w:outlineLvl w:val="1"/>
        <w:rPr>
          <w:rStyle w:val="12"/>
          <w:rFonts w:ascii="宋体" w:hAnsi="宋体" w:cs="宋体"/>
          <w:b w:val="0"/>
          <w:sz w:val="24"/>
          <w:szCs w:val="24"/>
        </w:rPr>
      </w:pPr>
      <w:r>
        <w:rPr>
          <w:rStyle w:val="12"/>
          <w:rFonts w:hint="eastAsia" w:ascii="宋体" w:hAnsi="宋体" w:cs="宋体"/>
          <w:b w:val="0"/>
          <w:sz w:val="24"/>
          <w:szCs w:val="24"/>
        </w:rPr>
        <w:t>8</w:t>
      </w:r>
      <w:r>
        <w:rPr>
          <w:rStyle w:val="12"/>
          <w:rFonts w:ascii="宋体" w:hAnsi="宋体" w:cs="宋体"/>
          <w:b w:val="0"/>
          <w:sz w:val="24"/>
          <w:szCs w:val="24"/>
        </w:rPr>
        <w:t xml:space="preserve">.3  </w:t>
      </w:r>
      <w:r>
        <w:rPr>
          <w:rStyle w:val="12"/>
          <w:rFonts w:hint="eastAsia" w:ascii="宋体" w:hAnsi="宋体" w:cs="宋体"/>
          <w:b w:val="0"/>
          <w:sz w:val="24"/>
          <w:szCs w:val="24"/>
        </w:rPr>
        <w:t>流动性风险应对措施及对投资者的潜在影响</w:t>
      </w:r>
    </w:p>
    <w:p w14:paraId="423727A9">
      <w:pPr>
        <w:spacing w:line="360" w:lineRule="auto"/>
        <w:ind w:firstLine="480" w:firstLineChars="200"/>
        <w:rPr>
          <w:rStyle w:val="12"/>
          <w:rFonts w:ascii="宋体" w:hAnsi="宋体" w:cs="宋体"/>
          <w:b w:val="0"/>
          <w:sz w:val="24"/>
          <w:szCs w:val="24"/>
        </w:rPr>
      </w:pPr>
      <w:r>
        <w:rPr>
          <w:rStyle w:val="12"/>
          <w:rFonts w:hint="eastAsia" w:ascii="宋体" w:hAnsi="宋体" w:cs="宋体"/>
          <w:b w:val="0"/>
          <w:sz w:val="24"/>
          <w:szCs w:val="24"/>
        </w:rPr>
        <w:t>根据相关法律法规及本说明书约定，在理财产品面临</w:t>
      </w:r>
      <w:r>
        <w:rPr>
          <w:rFonts w:hint="eastAsia" w:asciiTheme="minorEastAsia" w:hAnsiTheme="minorEastAsia" w:eastAsiaTheme="minorEastAsia" w:cstheme="minorEastAsia"/>
          <w:sz w:val="24"/>
          <w:szCs w:val="24"/>
        </w:rPr>
        <w:t>赎回风险</w:t>
      </w:r>
      <w:r>
        <w:rPr>
          <w:rStyle w:val="12"/>
          <w:rFonts w:hint="eastAsia" w:ascii="宋体" w:hAnsi="宋体" w:cs="宋体"/>
          <w:b w:val="0"/>
          <w:sz w:val="24"/>
          <w:szCs w:val="24"/>
        </w:rPr>
        <w:t>时，管理人可采用延缓支付赎回款项</w:t>
      </w:r>
      <w:r>
        <w:rPr>
          <w:rFonts w:hint="eastAsia" w:asciiTheme="minorEastAsia" w:hAnsiTheme="minorEastAsia" w:eastAsiaTheme="minorEastAsia" w:cstheme="minorEastAsia"/>
          <w:sz w:val="24"/>
          <w:szCs w:val="24"/>
        </w:rPr>
        <w:t>等措施应对，</w:t>
      </w:r>
      <w:r>
        <w:rPr>
          <w:rStyle w:val="12"/>
          <w:rFonts w:hint="eastAsia" w:ascii="宋体" w:hAnsi="宋体" w:cs="宋体"/>
          <w:b w:val="0"/>
          <w:sz w:val="24"/>
          <w:szCs w:val="24"/>
        </w:rPr>
        <w:t>投资者可能面临赎回款项延迟到账等风险；在理财产品面临申购风险时，管理人可采取设定单一投资者认购金额上限、拒绝大额认购等措施应对，投资者可能面临认购不成功的风险。</w:t>
      </w:r>
    </w:p>
    <w:p w14:paraId="2273A958">
      <w:pPr>
        <w:spacing w:line="360" w:lineRule="auto"/>
        <w:ind w:firstLine="482" w:firstLineChars="200"/>
        <w:outlineLvl w:val="0"/>
        <w:rPr>
          <w:rStyle w:val="12"/>
          <w:rFonts w:ascii="黑体" w:hAnsi="黑体" w:eastAsia="黑体" w:cs="黑体"/>
          <w:sz w:val="24"/>
          <w:szCs w:val="24"/>
        </w:rPr>
      </w:pPr>
      <w:r>
        <w:rPr>
          <w:rStyle w:val="12"/>
          <w:rFonts w:hint="eastAsia" w:ascii="黑体" w:hAnsi="黑体" w:eastAsia="黑体" w:cs="黑体"/>
          <w:sz w:val="24"/>
          <w:szCs w:val="24"/>
        </w:rPr>
        <w:t xml:space="preserve">第九条  </w:t>
      </w:r>
      <w:bookmarkStart w:id="4" w:name="_Hlk114558722"/>
      <w:r>
        <w:rPr>
          <w:rStyle w:val="12"/>
          <w:rFonts w:hint="eastAsia" w:ascii="黑体" w:hAnsi="黑体" w:eastAsia="黑体" w:cs="黑体"/>
          <w:sz w:val="24"/>
          <w:szCs w:val="24"/>
        </w:rPr>
        <w:t>信息披露</w:t>
      </w:r>
      <w:bookmarkEnd w:id="4"/>
    </w:p>
    <w:p w14:paraId="4E24BDCA">
      <w:pPr>
        <w:spacing w:line="360" w:lineRule="auto"/>
        <w:ind w:firstLine="480" w:firstLineChars="200"/>
        <w:outlineLvl w:val="1"/>
        <w:rPr>
          <w:rFonts w:ascii="宋体" w:hAnsi="宋体" w:cs="宋体"/>
          <w:sz w:val="24"/>
          <w:szCs w:val="24"/>
        </w:rPr>
      </w:pPr>
      <w:r>
        <w:rPr>
          <w:rFonts w:hint="eastAsia" w:ascii="宋体" w:hAnsi="宋体" w:cs="宋体"/>
          <w:sz w:val="24"/>
          <w:szCs w:val="24"/>
        </w:rPr>
        <w:t>9.1信息披露途径</w:t>
      </w:r>
    </w:p>
    <w:p w14:paraId="4F08A267">
      <w:pPr>
        <w:spacing w:line="360" w:lineRule="auto"/>
        <w:ind w:firstLine="480" w:firstLineChars="200"/>
        <w:rPr>
          <w:rFonts w:ascii="宋体" w:hAnsi="宋体" w:cs="宋体"/>
          <w:sz w:val="24"/>
          <w:szCs w:val="24"/>
        </w:rPr>
      </w:pPr>
      <w:r>
        <w:rPr>
          <w:rFonts w:hint="eastAsia" w:ascii="宋体" w:hAnsi="宋体" w:cs="宋体"/>
          <w:sz w:val="24"/>
          <w:szCs w:val="24"/>
        </w:rPr>
        <w:t>该产品信息披露通过贵州银行网站（www.bgzchina.com）或相关营业网点发布相关信息公告。</w:t>
      </w:r>
    </w:p>
    <w:p w14:paraId="289E2CBB">
      <w:pPr>
        <w:spacing w:line="360" w:lineRule="auto"/>
        <w:ind w:firstLine="480" w:firstLineChars="200"/>
        <w:outlineLvl w:val="1"/>
        <w:rPr>
          <w:rFonts w:ascii="宋体" w:hAnsi="宋体" w:cs="宋体"/>
          <w:sz w:val="24"/>
          <w:szCs w:val="24"/>
        </w:rPr>
      </w:pPr>
      <w:r>
        <w:rPr>
          <w:rFonts w:hint="eastAsia" w:ascii="宋体" w:hAnsi="宋体" w:cs="宋体"/>
          <w:sz w:val="24"/>
          <w:szCs w:val="24"/>
        </w:rPr>
        <w:t>9.2产品运作信息披露</w:t>
      </w:r>
    </w:p>
    <w:p w14:paraId="448D9E93">
      <w:pPr>
        <w:spacing w:line="360" w:lineRule="auto"/>
        <w:ind w:firstLine="480" w:firstLineChars="200"/>
        <w:rPr>
          <w:rFonts w:ascii="宋体" w:hAnsi="宋体" w:cs="宋体"/>
          <w:sz w:val="24"/>
          <w:szCs w:val="24"/>
        </w:rPr>
      </w:pPr>
      <w:r>
        <w:rPr>
          <w:rFonts w:hint="eastAsia" w:ascii="宋体" w:hAnsi="宋体" w:cs="宋体"/>
          <w:sz w:val="24"/>
          <w:szCs w:val="24"/>
        </w:rPr>
        <w:t>9.2.1本产品成立后5个工作日内披露发行公告，包括但不限于产品成立日期和募集规模等信息。</w:t>
      </w:r>
    </w:p>
    <w:p w14:paraId="79D2C57C">
      <w:pPr>
        <w:spacing w:line="360" w:lineRule="auto"/>
        <w:ind w:firstLine="480" w:firstLineChars="200"/>
        <w:rPr>
          <w:rFonts w:ascii="宋体" w:hAnsi="宋体" w:cs="宋体"/>
          <w:sz w:val="24"/>
          <w:szCs w:val="24"/>
        </w:rPr>
      </w:pPr>
      <w:r>
        <w:rPr>
          <w:rFonts w:hint="eastAsia" w:ascii="宋体" w:hAnsi="宋体" w:cs="宋体"/>
          <w:sz w:val="24"/>
          <w:szCs w:val="24"/>
        </w:rPr>
        <w:t>9.2.2本产品存续期间每周向投资者披露理财产品的资产净值和份额净值。</w:t>
      </w:r>
    </w:p>
    <w:p w14:paraId="56BA7E1A">
      <w:pPr>
        <w:spacing w:line="360" w:lineRule="auto"/>
        <w:ind w:firstLine="480" w:firstLineChars="200"/>
        <w:rPr>
          <w:rFonts w:ascii="宋体" w:hAnsi="宋体" w:cs="宋体"/>
          <w:sz w:val="24"/>
          <w:szCs w:val="24"/>
        </w:rPr>
      </w:pPr>
      <w:r>
        <w:rPr>
          <w:rFonts w:hint="eastAsia" w:ascii="宋体" w:hAnsi="宋体" w:cs="宋体"/>
          <w:sz w:val="24"/>
          <w:szCs w:val="24"/>
        </w:rPr>
        <w:t>9.2.3如管理人决定提前终止本理财产品，将于提前终止日的前3个工作日发布相关信息公告。</w:t>
      </w:r>
    </w:p>
    <w:p w14:paraId="22168CF0">
      <w:pPr>
        <w:spacing w:line="360" w:lineRule="auto"/>
        <w:ind w:firstLine="480" w:firstLineChars="200"/>
        <w:rPr>
          <w:rFonts w:ascii="宋体" w:hAnsi="宋体" w:cs="宋体"/>
          <w:sz w:val="24"/>
          <w:szCs w:val="24"/>
        </w:rPr>
      </w:pPr>
      <w:r>
        <w:rPr>
          <w:rFonts w:hint="eastAsia" w:ascii="宋体" w:hAnsi="宋体" w:cs="宋体"/>
          <w:sz w:val="24"/>
          <w:szCs w:val="24"/>
        </w:rPr>
        <w:t>9.2.4管理人应当在每季度结束之日起15个工作日内，编制完成产品季度报告，向投资者披露产品存续规模、收益表现、投资组合、流动性风险分析等信息。</w:t>
      </w:r>
    </w:p>
    <w:p w14:paraId="59793CF5">
      <w:pPr>
        <w:spacing w:line="360" w:lineRule="auto"/>
        <w:ind w:firstLine="480" w:firstLineChars="200"/>
        <w:rPr>
          <w:rFonts w:ascii="宋体" w:hAnsi="宋体" w:cs="宋体"/>
          <w:sz w:val="24"/>
        </w:rPr>
      </w:pPr>
      <w:r>
        <w:rPr>
          <w:rFonts w:hint="eastAsia" w:ascii="宋体" w:hAnsi="宋体" w:cs="宋体"/>
          <w:sz w:val="24"/>
          <w:szCs w:val="24"/>
        </w:rPr>
        <w:t>9.2.</w:t>
      </w:r>
      <w:r>
        <w:rPr>
          <w:rFonts w:ascii="宋体" w:hAnsi="宋体" w:cs="宋体"/>
          <w:sz w:val="24"/>
          <w:szCs w:val="24"/>
        </w:rPr>
        <w:t xml:space="preserve">5 </w:t>
      </w:r>
      <w:r>
        <w:rPr>
          <w:rFonts w:hint="eastAsia" w:ascii="宋体" w:hAnsi="宋体" w:cs="宋体"/>
          <w:sz w:val="24"/>
          <w:szCs w:val="24"/>
        </w:rPr>
        <w:t>管理人在上半年结束之日起60个工作日内，编制完成产品半年度报告，向投资者披露产品存续规模、收益表现、投资组合、流动性风险分析等信息。</w:t>
      </w:r>
    </w:p>
    <w:p w14:paraId="5FB69331">
      <w:pPr>
        <w:spacing w:line="360" w:lineRule="auto"/>
        <w:ind w:firstLine="480" w:firstLineChars="200"/>
        <w:rPr>
          <w:rFonts w:ascii="宋体" w:hAnsi="宋体" w:cs="宋体"/>
          <w:sz w:val="24"/>
        </w:rPr>
      </w:pPr>
      <w:r>
        <w:rPr>
          <w:rFonts w:hint="eastAsia" w:ascii="宋体" w:hAnsi="宋体" w:cs="宋体"/>
          <w:sz w:val="24"/>
          <w:szCs w:val="24"/>
        </w:rPr>
        <w:t>9.2.</w:t>
      </w:r>
      <w:r>
        <w:rPr>
          <w:rFonts w:ascii="宋体" w:hAnsi="宋体" w:cs="宋体"/>
          <w:sz w:val="24"/>
          <w:szCs w:val="24"/>
        </w:rPr>
        <w:t>6</w:t>
      </w:r>
      <w:r>
        <w:rPr>
          <w:rFonts w:hint="eastAsia" w:ascii="宋体" w:hAnsi="宋体" w:cs="宋体"/>
          <w:sz w:val="24"/>
          <w:szCs w:val="24"/>
        </w:rPr>
        <w:t>管理人在每年结束之日起90个工作日内，编制完成产品年度报告，向投资者披露产品存续规模、收益表现、投资组合、流动性风险分析等信息。</w:t>
      </w:r>
    </w:p>
    <w:p w14:paraId="3BD50B2F">
      <w:pPr>
        <w:spacing w:line="360" w:lineRule="auto"/>
        <w:ind w:firstLine="480" w:firstLineChars="200"/>
        <w:rPr>
          <w:rFonts w:ascii="宋体" w:hAnsi="宋体" w:cs="宋体"/>
          <w:sz w:val="24"/>
          <w:szCs w:val="24"/>
        </w:rPr>
      </w:pPr>
      <w:r>
        <w:rPr>
          <w:rFonts w:hint="eastAsia" w:ascii="宋体" w:hAnsi="宋体" w:cs="宋体"/>
          <w:sz w:val="24"/>
          <w:szCs w:val="24"/>
        </w:rPr>
        <w:t>9.2.</w:t>
      </w:r>
      <w:r>
        <w:rPr>
          <w:rFonts w:ascii="宋体" w:hAnsi="宋体" w:cs="宋体"/>
          <w:sz w:val="24"/>
          <w:szCs w:val="24"/>
        </w:rPr>
        <w:t>7</w:t>
      </w:r>
      <w:r>
        <w:rPr>
          <w:rFonts w:hint="eastAsia" w:ascii="宋体" w:hAnsi="宋体" w:cs="宋体"/>
          <w:sz w:val="24"/>
          <w:szCs w:val="24"/>
        </w:rPr>
        <w:t>本产品终止后5个工作日内披露到期公告。</w:t>
      </w:r>
    </w:p>
    <w:p w14:paraId="21AA52D5">
      <w:pPr>
        <w:spacing w:line="360" w:lineRule="auto"/>
        <w:ind w:firstLine="480" w:firstLineChars="200"/>
        <w:outlineLvl w:val="1"/>
        <w:rPr>
          <w:rFonts w:ascii="宋体" w:hAnsi="宋体" w:cs="宋体"/>
          <w:sz w:val="24"/>
          <w:szCs w:val="24"/>
        </w:rPr>
      </w:pPr>
      <w:r>
        <w:rPr>
          <w:rFonts w:hint="eastAsia" w:ascii="宋体" w:hAnsi="宋体" w:cs="宋体"/>
          <w:sz w:val="24"/>
          <w:szCs w:val="24"/>
        </w:rPr>
        <w:t>9.3产品重大信息披露</w:t>
      </w:r>
    </w:p>
    <w:p w14:paraId="521F06F3">
      <w:pPr>
        <w:spacing w:line="360" w:lineRule="auto"/>
        <w:ind w:firstLine="480" w:firstLineChars="200"/>
        <w:rPr>
          <w:rFonts w:ascii="宋体" w:hAnsi="宋体" w:cs="宋体"/>
          <w:sz w:val="24"/>
          <w:szCs w:val="24"/>
        </w:rPr>
      </w:pPr>
      <w:r>
        <w:rPr>
          <w:rFonts w:hint="eastAsia" w:ascii="宋体" w:hAnsi="宋体" w:cs="宋体"/>
          <w:sz w:val="24"/>
          <w:szCs w:val="24"/>
        </w:rPr>
        <w:t>理财产品在发生可能对理财产品投资者或者理财产品收益产生重大影响的事件后，在发生后2个工作日内发布重大事项公告。</w:t>
      </w:r>
    </w:p>
    <w:p w14:paraId="7854A94A">
      <w:pPr>
        <w:spacing w:line="360" w:lineRule="auto"/>
        <w:ind w:firstLine="480" w:firstLineChars="200"/>
        <w:outlineLvl w:val="1"/>
        <w:rPr>
          <w:rFonts w:ascii="宋体" w:hAnsi="宋体" w:cs="宋体"/>
          <w:sz w:val="24"/>
          <w:szCs w:val="24"/>
        </w:rPr>
      </w:pPr>
      <w:r>
        <w:rPr>
          <w:rFonts w:hint="eastAsia" w:ascii="宋体" w:hAnsi="宋体" w:cs="宋体"/>
          <w:sz w:val="24"/>
          <w:szCs w:val="24"/>
        </w:rPr>
        <w:t>9.4产品临时信息披露</w:t>
      </w:r>
    </w:p>
    <w:p w14:paraId="40B34B3F">
      <w:pPr>
        <w:spacing w:line="360" w:lineRule="auto"/>
        <w:ind w:firstLine="480" w:firstLineChars="200"/>
        <w:rPr>
          <w:rFonts w:ascii="宋体" w:hAnsi="宋体" w:cs="宋体"/>
          <w:sz w:val="24"/>
          <w:szCs w:val="24"/>
        </w:rPr>
      </w:pPr>
      <w:r>
        <w:rPr>
          <w:rFonts w:hint="eastAsia" w:ascii="宋体" w:hAnsi="宋体" w:cs="宋体"/>
          <w:sz w:val="24"/>
          <w:szCs w:val="24"/>
        </w:rPr>
        <w:t>本理财产品在运作管理过程中，不定期发布临时信息公告。</w:t>
      </w:r>
    </w:p>
    <w:p w14:paraId="7C094E6A">
      <w:pPr>
        <w:spacing w:line="360" w:lineRule="auto"/>
        <w:ind w:firstLine="480" w:firstLineChars="200"/>
        <w:outlineLvl w:val="1"/>
        <w:rPr>
          <w:rFonts w:ascii="宋体" w:hAnsi="宋体" w:cs="宋体"/>
          <w:sz w:val="24"/>
          <w:szCs w:val="24"/>
        </w:rPr>
      </w:pPr>
      <w:r>
        <w:rPr>
          <w:rFonts w:hint="eastAsia" w:ascii="宋体" w:hAnsi="宋体" w:cs="宋体"/>
          <w:sz w:val="24"/>
          <w:szCs w:val="24"/>
        </w:rPr>
        <w:t>9.5信息披露文件的查阅</w:t>
      </w:r>
    </w:p>
    <w:p w14:paraId="3A17E3FE">
      <w:pPr>
        <w:spacing w:line="360" w:lineRule="auto"/>
        <w:ind w:firstLine="482" w:firstLineChars="200"/>
        <w:rPr>
          <w:rFonts w:ascii="宋体" w:hAnsi="宋体" w:cs="宋体"/>
          <w:b/>
          <w:bCs/>
          <w:sz w:val="24"/>
          <w:szCs w:val="24"/>
        </w:rPr>
      </w:pPr>
      <w:r>
        <w:rPr>
          <w:rFonts w:hint="eastAsia" w:ascii="宋体" w:hAnsi="宋体" w:cs="宋体"/>
          <w:b/>
          <w:bCs/>
          <w:sz w:val="24"/>
          <w:szCs w:val="24"/>
        </w:rPr>
        <w:t>请您登录贵州银行网站（</w:t>
      </w:r>
      <w:r>
        <w:rPr>
          <w:rFonts w:ascii="宋体" w:hAnsi="宋体" w:cs="宋体"/>
          <w:b/>
          <w:bCs/>
          <w:sz w:val="24"/>
          <w:szCs w:val="24"/>
        </w:rPr>
        <w:t>www.bgzchina.com），在理财信息披露板块中查询理财产品相关信息。贵州银行网站公布的信息，敬请您及时查看。</w:t>
      </w:r>
    </w:p>
    <w:p w14:paraId="4FF14C16">
      <w:pPr>
        <w:spacing w:line="360" w:lineRule="auto"/>
        <w:ind w:firstLine="482" w:firstLineChars="200"/>
        <w:rPr>
          <w:rFonts w:asciiTheme="minorEastAsia" w:hAnsiTheme="minorEastAsia" w:eastAsiaTheme="minorEastAsia" w:cstheme="minorEastAsia"/>
          <w:b/>
          <w:bCs/>
          <w:sz w:val="24"/>
          <w:szCs w:val="24"/>
        </w:rPr>
      </w:pPr>
      <w:r>
        <w:rPr>
          <w:rStyle w:val="12"/>
          <w:rFonts w:hint="eastAsia" w:asciiTheme="minorEastAsia" w:hAnsiTheme="minorEastAsia" w:eastAsiaTheme="minorEastAsia" w:cstheme="minorEastAsia"/>
          <w:sz w:val="24"/>
          <w:szCs w:val="24"/>
        </w:rPr>
        <w:t>温馨提示：如您因未能及时查看了解相关理财产品信息，从而影响您的投资决策，需要您承担由此产生的风险。</w:t>
      </w:r>
    </w:p>
    <w:p w14:paraId="2D326A09">
      <w:pPr>
        <w:spacing w:line="360" w:lineRule="auto"/>
        <w:ind w:firstLine="482" w:firstLineChars="200"/>
        <w:outlineLvl w:val="0"/>
        <w:rPr>
          <w:rStyle w:val="12"/>
          <w:rFonts w:ascii="黑体" w:hAnsi="黑体" w:eastAsia="黑体" w:cs="黑体"/>
          <w:sz w:val="24"/>
          <w:szCs w:val="24"/>
        </w:rPr>
      </w:pPr>
      <w:r>
        <w:rPr>
          <w:rStyle w:val="12"/>
          <w:rFonts w:hint="eastAsia" w:ascii="黑体" w:hAnsi="黑体" w:eastAsia="黑体" w:cs="黑体"/>
          <w:sz w:val="24"/>
          <w:szCs w:val="24"/>
        </w:rPr>
        <w:t>第十条  保密义务</w:t>
      </w:r>
    </w:p>
    <w:p w14:paraId="20656C56">
      <w:pPr>
        <w:spacing w:line="360" w:lineRule="auto"/>
        <w:ind w:firstLine="480" w:firstLineChars="200"/>
        <w:rPr>
          <w:rFonts w:ascii="宋体" w:hAnsi="宋体" w:cs="宋体"/>
          <w:sz w:val="24"/>
          <w:szCs w:val="24"/>
        </w:rPr>
      </w:pPr>
      <w:r>
        <w:rPr>
          <w:rFonts w:hint="eastAsia" w:ascii="宋体" w:hAnsi="宋体" w:cs="宋体"/>
          <w:sz w:val="24"/>
          <w:szCs w:val="24"/>
        </w:rPr>
        <w:t>贵州银行对本理财产品的交易及投资者信息负有保密义务。除按照法律法规和监管规定正常报送投资者信息以外，未经投资人书面认可，贵州银行将不得向任何组织、个人提供或泄漏与本理财产品及投资者个人有关的信息。</w:t>
      </w:r>
    </w:p>
    <w:p w14:paraId="5AB7F786">
      <w:pPr>
        <w:spacing w:line="360" w:lineRule="auto"/>
        <w:ind w:firstLine="482" w:firstLineChars="200"/>
        <w:outlineLvl w:val="0"/>
        <w:rPr>
          <w:rStyle w:val="12"/>
          <w:rFonts w:ascii="黑体" w:hAnsi="黑体" w:eastAsia="黑体" w:cs="黑体"/>
        </w:rPr>
      </w:pPr>
      <w:r>
        <w:rPr>
          <w:rStyle w:val="12"/>
          <w:rFonts w:hint="eastAsia" w:ascii="黑体" w:hAnsi="黑体" w:eastAsia="黑体" w:cs="黑体"/>
          <w:sz w:val="24"/>
          <w:szCs w:val="28"/>
        </w:rPr>
        <w:t>第十一条</w:t>
      </w:r>
      <w:r>
        <w:rPr>
          <w:rStyle w:val="12"/>
          <w:rFonts w:ascii="黑体" w:hAnsi="黑体" w:eastAsia="黑体" w:cs="黑体"/>
          <w:sz w:val="24"/>
          <w:szCs w:val="28"/>
        </w:rPr>
        <w:t xml:space="preserve"> </w:t>
      </w:r>
      <w:r>
        <w:rPr>
          <w:rStyle w:val="12"/>
          <w:rFonts w:ascii="黑体" w:hAnsi="黑体" w:eastAsia="黑体" w:cs="黑体"/>
          <w:sz w:val="24"/>
          <w:szCs w:val="24"/>
        </w:rPr>
        <w:t xml:space="preserve"> </w:t>
      </w:r>
      <w:r>
        <w:rPr>
          <w:rStyle w:val="12"/>
          <w:rFonts w:hint="eastAsia" w:ascii="黑体" w:hAnsi="黑体" w:eastAsia="黑体" w:cs="黑体"/>
          <w:sz w:val="24"/>
          <w:szCs w:val="24"/>
        </w:rPr>
        <w:t>适用法律及争议解决</w:t>
      </w:r>
    </w:p>
    <w:p w14:paraId="06D90189">
      <w:pPr>
        <w:spacing w:line="360" w:lineRule="auto"/>
        <w:ind w:firstLine="480" w:firstLineChars="200"/>
        <w:rPr>
          <w:rFonts w:hint="eastAsia" w:ascii="宋体" w:hAnsi="宋体" w:cs="宋体"/>
          <w:sz w:val="24"/>
          <w:szCs w:val="24"/>
        </w:rPr>
      </w:pPr>
      <w:r>
        <w:rPr>
          <w:rFonts w:hint="eastAsia" w:ascii="宋体" w:hAnsi="宋体" w:cs="宋体"/>
          <w:sz w:val="24"/>
          <w:szCs w:val="24"/>
        </w:rPr>
        <w:t>本理财产品信息说明书、风险揭示书、客户权益须知及理财产品协议书适用中华人民共和国大陆地区的法律，其项下及与之有关的一切争议，各方应首先友好协商解决。协商未达成一致的，任何一方可向产品管理人住所地人民法院提起诉讼解决。</w:t>
      </w:r>
    </w:p>
    <w:p w14:paraId="34E4ACCA">
      <w:pPr>
        <w:spacing w:line="360" w:lineRule="auto"/>
        <w:ind w:firstLine="480" w:firstLineChars="200"/>
        <w:rPr>
          <w:rFonts w:hint="eastAsia" w:ascii="宋体" w:hAnsi="宋体" w:cs="宋体"/>
          <w:sz w:val="24"/>
          <w:szCs w:val="24"/>
        </w:rPr>
      </w:pPr>
    </w:p>
    <w:p w14:paraId="69AA9B29">
      <w:pPr>
        <w:spacing w:line="360" w:lineRule="auto"/>
        <w:ind w:firstLine="480" w:firstLineChars="200"/>
        <w:rPr>
          <w:rFonts w:hint="eastAsia" w:ascii="宋体" w:hAnsi="宋体" w:cs="宋体"/>
          <w:sz w:val="24"/>
          <w:szCs w:val="24"/>
        </w:rPr>
      </w:pPr>
    </w:p>
    <w:p w14:paraId="26ED96F6">
      <w:pPr>
        <w:spacing w:line="360" w:lineRule="auto"/>
        <w:ind w:firstLine="480" w:firstLineChars="200"/>
        <w:rPr>
          <w:rFonts w:hint="eastAsia" w:ascii="宋体" w:hAnsi="宋体" w:cs="宋体"/>
          <w:sz w:val="24"/>
          <w:szCs w:val="24"/>
        </w:rPr>
      </w:pPr>
    </w:p>
    <w:p w14:paraId="75D8CF2F">
      <w:pPr>
        <w:spacing w:line="360" w:lineRule="auto"/>
        <w:ind w:firstLine="480" w:firstLineChars="200"/>
        <w:rPr>
          <w:rFonts w:hint="eastAsia" w:ascii="宋体" w:hAnsi="宋体" w:cs="宋体"/>
          <w:sz w:val="24"/>
          <w:szCs w:val="24"/>
        </w:rPr>
      </w:pPr>
    </w:p>
    <w:p w14:paraId="0191E8AA">
      <w:pPr>
        <w:spacing w:line="360" w:lineRule="auto"/>
        <w:ind w:firstLine="480" w:firstLineChars="200"/>
        <w:rPr>
          <w:rFonts w:hint="eastAsia" w:ascii="宋体" w:hAnsi="宋体" w:cs="宋体"/>
          <w:sz w:val="24"/>
          <w:szCs w:val="24"/>
        </w:rPr>
      </w:pPr>
    </w:p>
    <w:p w14:paraId="2357BFB6">
      <w:pPr>
        <w:spacing w:line="360" w:lineRule="auto"/>
        <w:ind w:firstLine="0" w:firstLineChars="0"/>
        <w:rPr>
          <w:rFonts w:hint="eastAsia" w:ascii="宋体" w:hAnsi="宋体" w:cs="宋体"/>
          <w:sz w:val="24"/>
          <w:szCs w:val="24"/>
        </w:rPr>
      </w:pPr>
    </w:p>
    <w:p w14:paraId="666DEEB1">
      <w:pPr>
        <w:spacing w:line="360" w:lineRule="auto"/>
        <w:ind w:firstLine="0" w:firstLineChars="0"/>
        <w:rPr>
          <w:rFonts w:ascii="宋体" w:hAnsi="宋体"/>
          <w:sz w:val="18"/>
          <w:szCs w:val="18"/>
        </w:rPr>
      </w:pPr>
    </w:p>
    <w:p w14:paraId="07EDACD1">
      <w:pPr>
        <w:rPr>
          <w:rFonts w:ascii="宋体" w:hAnsi="宋体"/>
          <w:sz w:val="18"/>
          <w:szCs w:val="18"/>
        </w:rPr>
      </w:pPr>
    </w:p>
    <w:p w14:paraId="46754703">
      <w:pPr>
        <w:spacing w:line="360" w:lineRule="auto"/>
        <w:rPr>
          <w:rFonts w:ascii="宋体" w:hAnsi="宋体"/>
          <w:sz w:val="18"/>
          <w:szCs w:val="18"/>
        </w:rPr>
      </w:pPr>
    </w:p>
    <w:p w14:paraId="723C157E">
      <w:pPr>
        <w:spacing w:line="360" w:lineRule="auto"/>
        <w:jc w:val="center"/>
        <w:outlineLvl w:val="0"/>
        <w:rPr>
          <w:rStyle w:val="12"/>
          <w:rFonts w:ascii="黑体" w:hAnsi="黑体" w:eastAsia="黑体" w:cs="宋体"/>
          <w:bCs w:val="0"/>
          <w:sz w:val="24"/>
          <w:szCs w:val="24"/>
        </w:rPr>
      </w:pPr>
      <w:r>
        <w:rPr>
          <w:rFonts w:hint="eastAsia" w:ascii="黑体" w:hAnsi="黑体" w:eastAsia="黑体" w:cs="宋体"/>
          <w:b/>
          <w:sz w:val="24"/>
          <w:szCs w:val="24"/>
        </w:rPr>
        <w:t>（投资者确认页）</w:t>
      </w:r>
    </w:p>
    <w:p w14:paraId="36A604A8">
      <w:pPr>
        <w:spacing w:line="360" w:lineRule="auto"/>
        <w:ind w:firstLine="472" w:firstLineChars="196"/>
        <w:jc w:val="left"/>
        <w:rPr>
          <w:rFonts w:ascii="宋体" w:hAnsi="宋体"/>
          <w:b/>
          <w:sz w:val="24"/>
          <w:szCs w:val="24"/>
        </w:rPr>
      </w:pPr>
      <w:r>
        <w:rPr>
          <w:rFonts w:hint="eastAsia" w:ascii="黑体" w:hAnsi="黑体" w:eastAsia="黑体" w:cs="宋体"/>
          <w:b/>
          <w:sz w:val="24"/>
          <w:szCs w:val="24"/>
        </w:rPr>
        <w:t>个人投资者确认：本人已经阅读本产品信息说明书，对说明书条款无异议,并充分了解本理财产品的风险，自愿购买。</w:t>
      </w:r>
    </w:p>
    <w:p w14:paraId="6E54F316">
      <w:pPr>
        <w:spacing w:line="360" w:lineRule="auto"/>
        <w:ind w:firstLine="360" w:firstLineChars="200"/>
        <w:jc w:val="left"/>
        <w:rPr>
          <w:rFonts w:ascii="宋体" w:hAnsi="宋体"/>
          <w:sz w:val="18"/>
          <w:szCs w:val="18"/>
        </w:rPr>
      </w:pPr>
    </w:p>
    <w:p w14:paraId="54BBFA40">
      <w:pPr>
        <w:spacing w:line="360" w:lineRule="auto"/>
        <w:ind w:firstLine="480" w:firstLineChars="200"/>
        <w:jc w:val="left"/>
        <w:rPr>
          <w:rFonts w:ascii="宋体" w:hAnsi="宋体"/>
          <w:sz w:val="24"/>
          <w:szCs w:val="24"/>
        </w:rPr>
      </w:pPr>
      <w:r>
        <w:rPr>
          <w:rFonts w:hint="eastAsia" w:ascii="宋体" w:hAnsi="宋体"/>
          <w:sz w:val="24"/>
          <w:szCs w:val="24"/>
        </w:rPr>
        <w:t>个人投资者（签字）：</w:t>
      </w:r>
    </w:p>
    <w:p w14:paraId="0253C6D5">
      <w:pPr>
        <w:tabs>
          <w:tab w:val="left" w:pos="6090"/>
          <w:tab w:val="left" w:pos="6300"/>
          <w:tab w:val="left" w:pos="6510"/>
        </w:tabs>
        <w:spacing w:line="360" w:lineRule="auto"/>
        <w:jc w:val="center"/>
        <w:outlineLvl w:val="0"/>
        <w:rPr>
          <w:rFonts w:ascii="宋体" w:hAnsi="宋体" w:cs="宋体"/>
          <w:sz w:val="24"/>
          <w:szCs w:val="24"/>
        </w:rPr>
      </w:pPr>
      <w:r>
        <w:rPr>
          <w:rFonts w:hint="eastAsia" w:ascii="宋体" w:hAnsi="宋体" w:cs="宋体"/>
          <w:sz w:val="24"/>
          <w:szCs w:val="24"/>
        </w:rPr>
        <w:t xml:space="preserve">                                              年  月  日</w:t>
      </w:r>
    </w:p>
    <w:p w14:paraId="15BC1E64">
      <w:pPr>
        <w:tabs>
          <w:tab w:val="left" w:pos="6090"/>
          <w:tab w:val="left" w:pos="6300"/>
          <w:tab w:val="left" w:pos="6510"/>
        </w:tabs>
        <w:spacing w:line="360" w:lineRule="auto"/>
        <w:jc w:val="center"/>
        <w:rPr>
          <w:rFonts w:ascii="宋体" w:hAnsi="宋体" w:cs="宋体"/>
          <w:sz w:val="24"/>
          <w:szCs w:val="24"/>
        </w:rPr>
      </w:pPr>
    </w:p>
    <w:p w14:paraId="45353F60">
      <w:pPr>
        <w:tabs>
          <w:tab w:val="left" w:pos="6090"/>
          <w:tab w:val="left" w:pos="6300"/>
          <w:tab w:val="left" w:pos="6510"/>
        </w:tabs>
        <w:spacing w:line="360" w:lineRule="auto"/>
        <w:jc w:val="center"/>
        <w:rPr>
          <w:rFonts w:ascii="宋体" w:hAnsi="宋体" w:cs="宋体"/>
          <w:sz w:val="24"/>
          <w:szCs w:val="24"/>
        </w:rPr>
      </w:pPr>
    </w:p>
    <w:p w14:paraId="6653647B">
      <w:pPr>
        <w:spacing w:line="360" w:lineRule="auto"/>
        <w:jc w:val="left"/>
        <w:rPr>
          <w:rFonts w:ascii="黑体" w:hAnsi="黑体" w:eastAsia="黑体" w:cs="黑体"/>
          <w:b/>
          <w:sz w:val="24"/>
          <w:szCs w:val="24"/>
        </w:rPr>
      </w:pPr>
      <w:r>
        <w:rPr>
          <w:rFonts w:hint="eastAsia" w:ascii="黑体" w:hAnsi="黑体" w:eastAsia="黑体" w:cs="黑体"/>
          <w:b/>
          <w:sz w:val="24"/>
          <w:szCs w:val="24"/>
        </w:rPr>
        <w:t xml:space="preserve">    机构投资者确认：本单位已经阅读本产品信息说明书，对说明书条款无异议，</w:t>
      </w:r>
      <w:r>
        <w:rPr>
          <w:rFonts w:hint="eastAsia" w:ascii="黑体" w:hAnsi="黑体" w:eastAsia="黑体" w:cs="宋体"/>
          <w:b/>
          <w:sz w:val="24"/>
          <w:szCs w:val="24"/>
        </w:rPr>
        <w:t>并充分了解本理财产品的风险，自愿购买。</w:t>
      </w:r>
    </w:p>
    <w:p w14:paraId="498996BF">
      <w:pPr>
        <w:spacing w:line="360" w:lineRule="auto"/>
        <w:ind w:firstLine="354" w:firstLineChars="196"/>
        <w:jc w:val="left"/>
        <w:rPr>
          <w:rFonts w:ascii="黑体" w:hAnsi="黑体" w:eastAsia="黑体" w:cs="宋体"/>
          <w:b/>
          <w:sz w:val="18"/>
          <w:szCs w:val="18"/>
        </w:rPr>
      </w:pPr>
    </w:p>
    <w:p w14:paraId="08A41A15">
      <w:pPr>
        <w:spacing w:line="360" w:lineRule="auto"/>
        <w:ind w:firstLine="480" w:firstLineChars="200"/>
        <w:jc w:val="left"/>
        <w:rPr>
          <w:rFonts w:ascii="宋体" w:hAnsi="宋体"/>
          <w:sz w:val="24"/>
          <w:szCs w:val="24"/>
        </w:rPr>
      </w:pPr>
      <w:r>
        <w:rPr>
          <w:rFonts w:hint="eastAsia" w:ascii="宋体" w:hAnsi="宋体"/>
          <w:sz w:val="24"/>
          <w:szCs w:val="24"/>
        </w:rPr>
        <w:t>机构投资者（盖章）：</w:t>
      </w:r>
    </w:p>
    <w:p w14:paraId="434841B1">
      <w:pPr>
        <w:spacing w:line="360" w:lineRule="auto"/>
        <w:jc w:val="left"/>
        <w:rPr>
          <w:rFonts w:ascii="宋体" w:hAnsi="宋体"/>
          <w:sz w:val="24"/>
          <w:szCs w:val="24"/>
        </w:rPr>
      </w:pPr>
    </w:p>
    <w:p w14:paraId="460E294C">
      <w:pPr>
        <w:spacing w:line="360" w:lineRule="auto"/>
        <w:jc w:val="left"/>
        <w:rPr>
          <w:rFonts w:ascii="宋体" w:hAnsi="宋体"/>
          <w:sz w:val="24"/>
          <w:szCs w:val="24"/>
        </w:rPr>
      </w:pPr>
      <w:r>
        <w:rPr>
          <w:rFonts w:hint="eastAsia" w:ascii="宋体" w:hAnsi="宋体"/>
          <w:sz w:val="24"/>
          <w:szCs w:val="24"/>
        </w:rPr>
        <w:t xml:space="preserve">    法定代表人/负责人：</w:t>
      </w:r>
    </w:p>
    <w:p w14:paraId="5C989597">
      <w:pPr>
        <w:tabs>
          <w:tab w:val="left" w:pos="6300"/>
        </w:tabs>
        <w:spacing w:line="360" w:lineRule="auto"/>
        <w:jc w:val="left"/>
        <w:rPr>
          <w:rFonts w:ascii="宋体" w:hAnsi="宋体"/>
          <w:sz w:val="18"/>
          <w:szCs w:val="18"/>
          <w:u w:val="single"/>
        </w:rPr>
      </w:pPr>
      <w:r>
        <w:rPr>
          <w:rFonts w:hint="eastAsia" w:ascii="宋体" w:hAnsi="宋体"/>
          <w:sz w:val="24"/>
          <w:szCs w:val="24"/>
        </w:rPr>
        <w:t xml:space="preserve">    或授权代理人：</w:t>
      </w:r>
    </w:p>
    <w:p w14:paraId="03A92D57">
      <w:pPr>
        <w:tabs>
          <w:tab w:val="left" w:pos="6090"/>
          <w:tab w:val="left" w:pos="6300"/>
          <w:tab w:val="left" w:pos="6510"/>
        </w:tabs>
        <w:spacing w:line="360" w:lineRule="auto"/>
        <w:jc w:val="center"/>
        <w:outlineLvl w:val="0"/>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年  月  日</w:t>
      </w:r>
    </w:p>
    <w:p w14:paraId="5DE12E28">
      <w:pPr>
        <w:spacing w:line="360" w:lineRule="auto"/>
        <w:rPr>
          <w:rStyle w:val="12"/>
          <w:rFonts w:ascii="宋体" w:hAnsi="宋体"/>
          <w:sz w:val="18"/>
          <w:szCs w:val="18"/>
        </w:rPr>
      </w:pPr>
    </w:p>
    <w:sectPr>
      <w:footerReference r:id="rId3" w:type="default"/>
      <w:pgSz w:w="11906" w:h="16838"/>
      <w:pgMar w:top="1134" w:right="1701"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646633"/>
      <w:docPartObj>
        <w:docPartGallery w:val="autotext"/>
      </w:docPartObj>
    </w:sdtPr>
    <w:sdtContent>
      <w:p w14:paraId="3EC1B89B">
        <w:pPr>
          <w:pStyle w:val="6"/>
          <w:jc w:val="center"/>
        </w:pPr>
        <w:r>
          <w:fldChar w:fldCharType="begin"/>
        </w:r>
        <w:r>
          <w:instrText xml:space="preserve">PAGE   \* MERGEFORMAT</w:instrText>
        </w:r>
        <w:r>
          <w:fldChar w:fldCharType="separate"/>
        </w:r>
        <w:r>
          <w:rPr>
            <w:lang w:val="zh-CN"/>
          </w:rPr>
          <w:t>2</w:t>
        </w:r>
        <w:r>
          <w:fldChar w:fldCharType="end"/>
        </w:r>
      </w:p>
    </w:sdtContent>
  </w:sdt>
  <w:p w14:paraId="0E3CD334">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A4F8F"/>
    <w:multiLevelType w:val="singleLevel"/>
    <w:tmpl w:val="CBFA4F8F"/>
    <w:lvl w:ilvl="0" w:tentative="0">
      <w:start w:val="2"/>
      <w:numFmt w:val="chineseCounting"/>
      <w:suff w:val="space"/>
      <w:lvlText w:val="第%1条"/>
      <w:lvlJc w:val="left"/>
      <w:rPr>
        <w:rFonts w:hint="eastAsia"/>
        <w:b/>
        <w:bCs/>
      </w:rPr>
    </w:lvl>
  </w:abstractNum>
  <w:abstractNum w:abstractNumId="1">
    <w:nsid w:val="0D770CB2"/>
    <w:multiLevelType w:val="singleLevel"/>
    <w:tmpl w:val="0D770CB2"/>
    <w:lvl w:ilvl="0" w:tentative="0">
      <w:start w:val="1"/>
      <w:numFmt w:val="decimal"/>
      <w:lvlText w:val="%1."/>
      <w:lvlJc w:val="left"/>
      <w:pPr>
        <w:tabs>
          <w:tab w:val="left" w:pos="312"/>
        </w:tabs>
      </w:pPr>
    </w:lvl>
  </w:abstractNum>
  <w:abstractNum w:abstractNumId="2">
    <w:nsid w:val="1C0B54C9"/>
    <w:multiLevelType w:val="singleLevel"/>
    <w:tmpl w:val="1C0B54C9"/>
    <w:lvl w:ilvl="0" w:tentative="0">
      <w:start w:val="1"/>
      <w:numFmt w:val="decimal"/>
      <w:lvlText w:val="%1."/>
      <w:lvlJc w:val="left"/>
      <w:pPr>
        <w:tabs>
          <w:tab w:val="left" w:pos="312"/>
        </w:tabs>
      </w:pPr>
    </w:lvl>
  </w:abstractNum>
  <w:abstractNum w:abstractNumId="3">
    <w:nsid w:val="23C241DF"/>
    <w:multiLevelType w:val="singleLevel"/>
    <w:tmpl w:val="23C241DF"/>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OWE1MGZjZGNkY2RkZDhlYzBhMzBiNmEwYjBmNGMifQ=="/>
  </w:docVars>
  <w:rsids>
    <w:rsidRoot w:val="00CF02D5"/>
    <w:rsid w:val="00003809"/>
    <w:rsid w:val="0000459B"/>
    <w:rsid w:val="00007FC6"/>
    <w:rsid w:val="00013EF6"/>
    <w:rsid w:val="00021281"/>
    <w:rsid w:val="0002534E"/>
    <w:rsid w:val="000260F6"/>
    <w:rsid w:val="00036541"/>
    <w:rsid w:val="0004297C"/>
    <w:rsid w:val="00044E4E"/>
    <w:rsid w:val="000472EF"/>
    <w:rsid w:val="0006279B"/>
    <w:rsid w:val="000648AE"/>
    <w:rsid w:val="00070993"/>
    <w:rsid w:val="00077C9A"/>
    <w:rsid w:val="000817D5"/>
    <w:rsid w:val="00083264"/>
    <w:rsid w:val="00096C7C"/>
    <w:rsid w:val="000A0422"/>
    <w:rsid w:val="000A43A3"/>
    <w:rsid w:val="000A4DBA"/>
    <w:rsid w:val="000B39C8"/>
    <w:rsid w:val="000B4723"/>
    <w:rsid w:val="000D3F41"/>
    <w:rsid w:val="000D563E"/>
    <w:rsid w:val="000D7DAE"/>
    <w:rsid w:val="000E2F12"/>
    <w:rsid w:val="000E6F85"/>
    <w:rsid w:val="001012C5"/>
    <w:rsid w:val="001046D3"/>
    <w:rsid w:val="001076F9"/>
    <w:rsid w:val="00113973"/>
    <w:rsid w:val="00113FE9"/>
    <w:rsid w:val="001142D9"/>
    <w:rsid w:val="00116125"/>
    <w:rsid w:val="001216BF"/>
    <w:rsid w:val="00131321"/>
    <w:rsid w:val="00140CB5"/>
    <w:rsid w:val="001426EA"/>
    <w:rsid w:val="00142854"/>
    <w:rsid w:val="00145AB4"/>
    <w:rsid w:val="00151424"/>
    <w:rsid w:val="001529F9"/>
    <w:rsid w:val="0017026A"/>
    <w:rsid w:val="00172A7A"/>
    <w:rsid w:val="0017592E"/>
    <w:rsid w:val="00180D68"/>
    <w:rsid w:val="001816D2"/>
    <w:rsid w:val="00183FCA"/>
    <w:rsid w:val="00196D81"/>
    <w:rsid w:val="001A2B49"/>
    <w:rsid w:val="001A3123"/>
    <w:rsid w:val="001A6B79"/>
    <w:rsid w:val="001B293D"/>
    <w:rsid w:val="001C685B"/>
    <w:rsid w:val="001D2048"/>
    <w:rsid w:val="001D3798"/>
    <w:rsid w:val="001E08A9"/>
    <w:rsid w:val="001E13C1"/>
    <w:rsid w:val="001E291A"/>
    <w:rsid w:val="001F5211"/>
    <w:rsid w:val="001F58D4"/>
    <w:rsid w:val="001F6D87"/>
    <w:rsid w:val="001F7D69"/>
    <w:rsid w:val="001F7F90"/>
    <w:rsid w:val="002003AB"/>
    <w:rsid w:val="002070C3"/>
    <w:rsid w:val="00212A4D"/>
    <w:rsid w:val="00216089"/>
    <w:rsid w:val="0022185E"/>
    <w:rsid w:val="00240A96"/>
    <w:rsid w:val="00261D5C"/>
    <w:rsid w:val="00270348"/>
    <w:rsid w:val="00280966"/>
    <w:rsid w:val="0029245A"/>
    <w:rsid w:val="002932F9"/>
    <w:rsid w:val="002B1AAB"/>
    <w:rsid w:val="002B47CA"/>
    <w:rsid w:val="002B5962"/>
    <w:rsid w:val="002B7CCA"/>
    <w:rsid w:val="002D3187"/>
    <w:rsid w:val="002D398A"/>
    <w:rsid w:val="002E2763"/>
    <w:rsid w:val="002E3266"/>
    <w:rsid w:val="002E5A42"/>
    <w:rsid w:val="002F0E1E"/>
    <w:rsid w:val="00311F0C"/>
    <w:rsid w:val="00324824"/>
    <w:rsid w:val="003316A6"/>
    <w:rsid w:val="00336FB0"/>
    <w:rsid w:val="00340F25"/>
    <w:rsid w:val="00357B59"/>
    <w:rsid w:val="00381D8B"/>
    <w:rsid w:val="003855E9"/>
    <w:rsid w:val="0038777C"/>
    <w:rsid w:val="00387C76"/>
    <w:rsid w:val="003A1FD2"/>
    <w:rsid w:val="003A55C8"/>
    <w:rsid w:val="003A669A"/>
    <w:rsid w:val="003B25FC"/>
    <w:rsid w:val="003B4340"/>
    <w:rsid w:val="003B7377"/>
    <w:rsid w:val="003C6C69"/>
    <w:rsid w:val="003D03DB"/>
    <w:rsid w:val="003E103D"/>
    <w:rsid w:val="003E43E1"/>
    <w:rsid w:val="003F5153"/>
    <w:rsid w:val="003F52EB"/>
    <w:rsid w:val="003F7EA6"/>
    <w:rsid w:val="0041131D"/>
    <w:rsid w:val="00412AD6"/>
    <w:rsid w:val="00413EB6"/>
    <w:rsid w:val="004159BC"/>
    <w:rsid w:val="00421ED3"/>
    <w:rsid w:val="00430117"/>
    <w:rsid w:val="00431BBA"/>
    <w:rsid w:val="0043505F"/>
    <w:rsid w:val="00443BD0"/>
    <w:rsid w:val="00446491"/>
    <w:rsid w:val="004515F4"/>
    <w:rsid w:val="0045274A"/>
    <w:rsid w:val="00453592"/>
    <w:rsid w:val="00462245"/>
    <w:rsid w:val="00463F91"/>
    <w:rsid w:val="00477B69"/>
    <w:rsid w:val="004879F4"/>
    <w:rsid w:val="00495342"/>
    <w:rsid w:val="004B59AB"/>
    <w:rsid w:val="004B6908"/>
    <w:rsid w:val="004C3773"/>
    <w:rsid w:val="004C73D3"/>
    <w:rsid w:val="004D3752"/>
    <w:rsid w:val="004D71F7"/>
    <w:rsid w:val="0050000E"/>
    <w:rsid w:val="00506C91"/>
    <w:rsid w:val="00511F20"/>
    <w:rsid w:val="00515275"/>
    <w:rsid w:val="00517B19"/>
    <w:rsid w:val="00520C0B"/>
    <w:rsid w:val="00531477"/>
    <w:rsid w:val="0054122A"/>
    <w:rsid w:val="00547F82"/>
    <w:rsid w:val="00552C81"/>
    <w:rsid w:val="00570BDF"/>
    <w:rsid w:val="00570EAF"/>
    <w:rsid w:val="005750E7"/>
    <w:rsid w:val="00577201"/>
    <w:rsid w:val="00581882"/>
    <w:rsid w:val="005B10F7"/>
    <w:rsid w:val="005B1B19"/>
    <w:rsid w:val="005C3CA6"/>
    <w:rsid w:val="005D3F9B"/>
    <w:rsid w:val="005D4774"/>
    <w:rsid w:val="005D4AA7"/>
    <w:rsid w:val="005E3941"/>
    <w:rsid w:val="005E5F00"/>
    <w:rsid w:val="005F53ED"/>
    <w:rsid w:val="00607EC4"/>
    <w:rsid w:val="006123D1"/>
    <w:rsid w:val="00617ADA"/>
    <w:rsid w:val="00620418"/>
    <w:rsid w:val="006300B3"/>
    <w:rsid w:val="006315EC"/>
    <w:rsid w:val="00640B3E"/>
    <w:rsid w:val="00644936"/>
    <w:rsid w:val="00645983"/>
    <w:rsid w:val="00646B26"/>
    <w:rsid w:val="006576D9"/>
    <w:rsid w:val="0067019E"/>
    <w:rsid w:val="00671C54"/>
    <w:rsid w:val="00671E69"/>
    <w:rsid w:val="00673CF5"/>
    <w:rsid w:val="00693667"/>
    <w:rsid w:val="00697EA5"/>
    <w:rsid w:val="006A6B86"/>
    <w:rsid w:val="006B4BAD"/>
    <w:rsid w:val="006B788A"/>
    <w:rsid w:val="006D4C78"/>
    <w:rsid w:val="006E51BC"/>
    <w:rsid w:val="006F19E9"/>
    <w:rsid w:val="00700963"/>
    <w:rsid w:val="007042F5"/>
    <w:rsid w:val="0070465A"/>
    <w:rsid w:val="007239A9"/>
    <w:rsid w:val="00734EBE"/>
    <w:rsid w:val="00736DEF"/>
    <w:rsid w:val="00742874"/>
    <w:rsid w:val="00763EDD"/>
    <w:rsid w:val="00773354"/>
    <w:rsid w:val="007738BA"/>
    <w:rsid w:val="007774D7"/>
    <w:rsid w:val="00777868"/>
    <w:rsid w:val="007A07FB"/>
    <w:rsid w:val="007A18C3"/>
    <w:rsid w:val="007A5399"/>
    <w:rsid w:val="007A72C1"/>
    <w:rsid w:val="007B1E56"/>
    <w:rsid w:val="007C0288"/>
    <w:rsid w:val="007C361E"/>
    <w:rsid w:val="007C4F70"/>
    <w:rsid w:val="007C6349"/>
    <w:rsid w:val="007C6E15"/>
    <w:rsid w:val="007C7690"/>
    <w:rsid w:val="007D1B70"/>
    <w:rsid w:val="007E6CD5"/>
    <w:rsid w:val="007F7F3F"/>
    <w:rsid w:val="00800470"/>
    <w:rsid w:val="00815B93"/>
    <w:rsid w:val="00817CBB"/>
    <w:rsid w:val="00821B2B"/>
    <w:rsid w:val="00841F9A"/>
    <w:rsid w:val="00845898"/>
    <w:rsid w:val="0084652F"/>
    <w:rsid w:val="0085233E"/>
    <w:rsid w:val="00853534"/>
    <w:rsid w:val="008539AD"/>
    <w:rsid w:val="00853E29"/>
    <w:rsid w:val="008679CD"/>
    <w:rsid w:val="00871508"/>
    <w:rsid w:val="00875EC9"/>
    <w:rsid w:val="008762FB"/>
    <w:rsid w:val="00880F34"/>
    <w:rsid w:val="00884C60"/>
    <w:rsid w:val="008A00B3"/>
    <w:rsid w:val="008A379E"/>
    <w:rsid w:val="008A561D"/>
    <w:rsid w:val="008B26C8"/>
    <w:rsid w:val="008D09BB"/>
    <w:rsid w:val="008D7F65"/>
    <w:rsid w:val="008E16D1"/>
    <w:rsid w:val="008F481C"/>
    <w:rsid w:val="00905EC1"/>
    <w:rsid w:val="00910ACE"/>
    <w:rsid w:val="0091134D"/>
    <w:rsid w:val="009121F8"/>
    <w:rsid w:val="009122FC"/>
    <w:rsid w:val="00933059"/>
    <w:rsid w:val="00954440"/>
    <w:rsid w:val="009643E3"/>
    <w:rsid w:val="00966680"/>
    <w:rsid w:val="00970C93"/>
    <w:rsid w:val="009737D7"/>
    <w:rsid w:val="00977271"/>
    <w:rsid w:val="00981732"/>
    <w:rsid w:val="00983A10"/>
    <w:rsid w:val="009868D9"/>
    <w:rsid w:val="009951FD"/>
    <w:rsid w:val="00997529"/>
    <w:rsid w:val="009A2047"/>
    <w:rsid w:val="009A4FD3"/>
    <w:rsid w:val="009B1C32"/>
    <w:rsid w:val="009B2C41"/>
    <w:rsid w:val="009C11B7"/>
    <w:rsid w:val="009D7053"/>
    <w:rsid w:val="009E713D"/>
    <w:rsid w:val="009F0621"/>
    <w:rsid w:val="009F1279"/>
    <w:rsid w:val="009F51F1"/>
    <w:rsid w:val="00A033E6"/>
    <w:rsid w:val="00A0656C"/>
    <w:rsid w:val="00A13199"/>
    <w:rsid w:val="00A3269A"/>
    <w:rsid w:val="00A3355C"/>
    <w:rsid w:val="00A37081"/>
    <w:rsid w:val="00A40758"/>
    <w:rsid w:val="00A44E3B"/>
    <w:rsid w:val="00A46FE4"/>
    <w:rsid w:val="00A60B4D"/>
    <w:rsid w:val="00A7016A"/>
    <w:rsid w:val="00A704DA"/>
    <w:rsid w:val="00A77668"/>
    <w:rsid w:val="00A86D7B"/>
    <w:rsid w:val="00A9065D"/>
    <w:rsid w:val="00A9176F"/>
    <w:rsid w:val="00AA22A6"/>
    <w:rsid w:val="00AA3D84"/>
    <w:rsid w:val="00AA3EC9"/>
    <w:rsid w:val="00AA4F77"/>
    <w:rsid w:val="00AA6A6A"/>
    <w:rsid w:val="00AB0586"/>
    <w:rsid w:val="00AB56F8"/>
    <w:rsid w:val="00AC1B0B"/>
    <w:rsid w:val="00AC1B15"/>
    <w:rsid w:val="00AD017F"/>
    <w:rsid w:val="00AD65FD"/>
    <w:rsid w:val="00B047C6"/>
    <w:rsid w:val="00B14C34"/>
    <w:rsid w:val="00B17CC6"/>
    <w:rsid w:val="00B17FB1"/>
    <w:rsid w:val="00B20FB1"/>
    <w:rsid w:val="00B255E7"/>
    <w:rsid w:val="00B32B05"/>
    <w:rsid w:val="00B353E9"/>
    <w:rsid w:val="00B36B75"/>
    <w:rsid w:val="00B400AF"/>
    <w:rsid w:val="00B5132A"/>
    <w:rsid w:val="00B51EE9"/>
    <w:rsid w:val="00B56CE0"/>
    <w:rsid w:val="00B658E1"/>
    <w:rsid w:val="00B7198C"/>
    <w:rsid w:val="00B71EA5"/>
    <w:rsid w:val="00B800AA"/>
    <w:rsid w:val="00B80F11"/>
    <w:rsid w:val="00B82DAF"/>
    <w:rsid w:val="00B9021D"/>
    <w:rsid w:val="00B95BEB"/>
    <w:rsid w:val="00BA195C"/>
    <w:rsid w:val="00BA529B"/>
    <w:rsid w:val="00BC0A84"/>
    <w:rsid w:val="00BC1CDF"/>
    <w:rsid w:val="00BC7811"/>
    <w:rsid w:val="00BD4930"/>
    <w:rsid w:val="00BD4BDD"/>
    <w:rsid w:val="00BD7764"/>
    <w:rsid w:val="00BE14AA"/>
    <w:rsid w:val="00BE3754"/>
    <w:rsid w:val="00BE4A75"/>
    <w:rsid w:val="00BE73B6"/>
    <w:rsid w:val="00BF0528"/>
    <w:rsid w:val="00BF2ED1"/>
    <w:rsid w:val="00C049BD"/>
    <w:rsid w:val="00C07D91"/>
    <w:rsid w:val="00C1438B"/>
    <w:rsid w:val="00C16496"/>
    <w:rsid w:val="00C17A46"/>
    <w:rsid w:val="00C25F50"/>
    <w:rsid w:val="00C34ADB"/>
    <w:rsid w:val="00C34E32"/>
    <w:rsid w:val="00C35900"/>
    <w:rsid w:val="00C47B59"/>
    <w:rsid w:val="00C47C22"/>
    <w:rsid w:val="00C502DF"/>
    <w:rsid w:val="00C51948"/>
    <w:rsid w:val="00C6056B"/>
    <w:rsid w:val="00C618AB"/>
    <w:rsid w:val="00C630F4"/>
    <w:rsid w:val="00C651D9"/>
    <w:rsid w:val="00C7412F"/>
    <w:rsid w:val="00C8179B"/>
    <w:rsid w:val="00C9635B"/>
    <w:rsid w:val="00CB5CE5"/>
    <w:rsid w:val="00CB5FDD"/>
    <w:rsid w:val="00CE637B"/>
    <w:rsid w:val="00CF02D5"/>
    <w:rsid w:val="00CF56F7"/>
    <w:rsid w:val="00D151F7"/>
    <w:rsid w:val="00D25124"/>
    <w:rsid w:val="00D27EB3"/>
    <w:rsid w:val="00D31805"/>
    <w:rsid w:val="00D31EEB"/>
    <w:rsid w:val="00D36458"/>
    <w:rsid w:val="00D444CD"/>
    <w:rsid w:val="00D50AF2"/>
    <w:rsid w:val="00D54238"/>
    <w:rsid w:val="00D6693F"/>
    <w:rsid w:val="00D70BC9"/>
    <w:rsid w:val="00D8468F"/>
    <w:rsid w:val="00D926C0"/>
    <w:rsid w:val="00D94082"/>
    <w:rsid w:val="00DA66E3"/>
    <w:rsid w:val="00DB4132"/>
    <w:rsid w:val="00DC335F"/>
    <w:rsid w:val="00DE73F8"/>
    <w:rsid w:val="00DF3FA3"/>
    <w:rsid w:val="00E025B9"/>
    <w:rsid w:val="00E02727"/>
    <w:rsid w:val="00E11D3C"/>
    <w:rsid w:val="00E31584"/>
    <w:rsid w:val="00E34FA1"/>
    <w:rsid w:val="00E46D67"/>
    <w:rsid w:val="00E53C5F"/>
    <w:rsid w:val="00E5735E"/>
    <w:rsid w:val="00E668CE"/>
    <w:rsid w:val="00E77368"/>
    <w:rsid w:val="00E9237A"/>
    <w:rsid w:val="00E96D2C"/>
    <w:rsid w:val="00EA3737"/>
    <w:rsid w:val="00EC14EB"/>
    <w:rsid w:val="00EC22BF"/>
    <w:rsid w:val="00EC4D29"/>
    <w:rsid w:val="00EC77C1"/>
    <w:rsid w:val="00ED1569"/>
    <w:rsid w:val="00ED308B"/>
    <w:rsid w:val="00ED35CF"/>
    <w:rsid w:val="00ED67A3"/>
    <w:rsid w:val="00EF4238"/>
    <w:rsid w:val="00EF6BBF"/>
    <w:rsid w:val="00F036A7"/>
    <w:rsid w:val="00F11C70"/>
    <w:rsid w:val="00F24EFD"/>
    <w:rsid w:val="00F30835"/>
    <w:rsid w:val="00F421DC"/>
    <w:rsid w:val="00F425AA"/>
    <w:rsid w:val="00F50B12"/>
    <w:rsid w:val="00F72A6B"/>
    <w:rsid w:val="00F72D63"/>
    <w:rsid w:val="00FA44DD"/>
    <w:rsid w:val="00FA4FEC"/>
    <w:rsid w:val="00FB11A3"/>
    <w:rsid w:val="00FC2937"/>
    <w:rsid w:val="00FD4846"/>
    <w:rsid w:val="00FE0246"/>
    <w:rsid w:val="00FE3EAA"/>
    <w:rsid w:val="00FF1F1F"/>
    <w:rsid w:val="00FF3DD2"/>
    <w:rsid w:val="00FF5CBD"/>
    <w:rsid w:val="00FF6AB3"/>
    <w:rsid w:val="021B6044"/>
    <w:rsid w:val="02612646"/>
    <w:rsid w:val="03031755"/>
    <w:rsid w:val="036B4155"/>
    <w:rsid w:val="036D25CC"/>
    <w:rsid w:val="05251F64"/>
    <w:rsid w:val="060200E1"/>
    <w:rsid w:val="062E4B06"/>
    <w:rsid w:val="073169B7"/>
    <w:rsid w:val="07756ACE"/>
    <w:rsid w:val="07C27BFD"/>
    <w:rsid w:val="083B3773"/>
    <w:rsid w:val="083D395C"/>
    <w:rsid w:val="084C0376"/>
    <w:rsid w:val="09572BFD"/>
    <w:rsid w:val="096920BE"/>
    <w:rsid w:val="0B3739AD"/>
    <w:rsid w:val="0B774BFE"/>
    <w:rsid w:val="0BDC5A24"/>
    <w:rsid w:val="0BF94668"/>
    <w:rsid w:val="0C2337F3"/>
    <w:rsid w:val="0C840C54"/>
    <w:rsid w:val="0CC7735D"/>
    <w:rsid w:val="0D281AC6"/>
    <w:rsid w:val="0D654AAD"/>
    <w:rsid w:val="0DDE33D6"/>
    <w:rsid w:val="0DF2276F"/>
    <w:rsid w:val="0DF62C54"/>
    <w:rsid w:val="0E897657"/>
    <w:rsid w:val="0EAC69B5"/>
    <w:rsid w:val="0EB82B0C"/>
    <w:rsid w:val="0F391D41"/>
    <w:rsid w:val="0F773511"/>
    <w:rsid w:val="102F7D33"/>
    <w:rsid w:val="108F7865"/>
    <w:rsid w:val="10B64EE6"/>
    <w:rsid w:val="134C7454"/>
    <w:rsid w:val="13675A6C"/>
    <w:rsid w:val="13D71CE5"/>
    <w:rsid w:val="14197A5B"/>
    <w:rsid w:val="146F76C7"/>
    <w:rsid w:val="150C1A52"/>
    <w:rsid w:val="164155CB"/>
    <w:rsid w:val="17102B50"/>
    <w:rsid w:val="175F7ECB"/>
    <w:rsid w:val="1770488F"/>
    <w:rsid w:val="18213170"/>
    <w:rsid w:val="18500836"/>
    <w:rsid w:val="185C619A"/>
    <w:rsid w:val="18F61422"/>
    <w:rsid w:val="194507C2"/>
    <w:rsid w:val="1A3E0879"/>
    <w:rsid w:val="1A6006D8"/>
    <w:rsid w:val="1AA17C1C"/>
    <w:rsid w:val="1ACB0BE7"/>
    <w:rsid w:val="1C22014C"/>
    <w:rsid w:val="1CA65AB8"/>
    <w:rsid w:val="1D342136"/>
    <w:rsid w:val="1D4B7167"/>
    <w:rsid w:val="1E422837"/>
    <w:rsid w:val="1EBE3090"/>
    <w:rsid w:val="1EFC10C8"/>
    <w:rsid w:val="1F8034C6"/>
    <w:rsid w:val="205806AD"/>
    <w:rsid w:val="20BA1149"/>
    <w:rsid w:val="20CF5EC0"/>
    <w:rsid w:val="20D052C0"/>
    <w:rsid w:val="21294363"/>
    <w:rsid w:val="21472DB2"/>
    <w:rsid w:val="21500701"/>
    <w:rsid w:val="21777F2F"/>
    <w:rsid w:val="21917CCC"/>
    <w:rsid w:val="21D2453B"/>
    <w:rsid w:val="22392EF1"/>
    <w:rsid w:val="2249075F"/>
    <w:rsid w:val="22C22EA3"/>
    <w:rsid w:val="22F40861"/>
    <w:rsid w:val="2312133C"/>
    <w:rsid w:val="23366E8A"/>
    <w:rsid w:val="233C46B8"/>
    <w:rsid w:val="234D4AF1"/>
    <w:rsid w:val="23D76D14"/>
    <w:rsid w:val="241C18E8"/>
    <w:rsid w:val="244671C0"/>
    <w:rsid w:val="24995C02"/>
    <w:rsid w:val="25B5068D"/>
    <w:rsid w:val="26022968"/>
    <w:rsid w:val="26397BEF"/>
    <w:rsid w:val="263B4A2A"/>
    <w:rsid w:val="2724791F"/>
    <w:rsid w:val="27614BD9"/>
    <w:rsid w:val="286E06F0"/>
    <w:rsid w:val="2A9A68B3"/>
    <w:rsid w:val="2AE631EB"/>
    <w:rsid w:val="2B7A5AD2"/>
    <w:rsid w:val="2BB71D28"/>
    <w:rsid w:val="2BC7442C"/>
    <w:rsid w:val="2BC918D0"/>
    <w:rsid w:val="2BDD09AA"/>
    <w:rsid w:val="2BE27424"/>
    <w:rsid w:val="2C071F8C"/>
    <w:rsid w:val="2C37665C"/>
    <w:rsid w:val="2C5D7E28"/>
    <w:rsid w:val="2CF21E00"/>
    <w:rsid w:val="2DBC1A23"/>
    <w:rsid w:val="2DBF182D"/>
    <w:rsid w:val="2DDE02C2"/>
    <w:rsid w:val="2E195EF8"/>
    <w:rsid w:val="2E3466E6"/>
    <w:rsid w:val="2E8A57F2"/>
    <w:rsid w:val="2F476475"/>
    <w:rsid w:val="2FED2C8C"/>
    <w:rsid w:val="30527DAE"/>
    <w:rsid w:val="316B2972"/>
    <w:rsid w:val="31C60054"/>
    <w:rsid w:val="321B087C"/>
    <w:rsid w:val="327E4138"/>
    <w:rsid w:val="32862495"/>
    <w:rsid w:val="32A45959"/>
    <w:rsid w:val="3311267B"/>
    <w:rsid w:val="33981E45"/>
    <w:rsid w:val="33D015FB"/>
    <w:rsid w:val="343229AE"/>
    <w:rsid w:val="3490143A"/>
    <w:rsid w:val="3495641D"/>
    <w:rsid w:val="36305D74"/>
    <w:rsid w:val="36AA2022"/>
    <w:rsid w:val="383F5D27"/>
    <w:rsid w:val="38430972"/>
    <w:rsid w:val="388D730F"/>
    <w:rsid w:val="38BA1D7B"/>
    <w:rsid w:val="38E402C2"/>
    <w:rsid w:val="39EF4B6B"/>
    <w:rsid w:val="3A291CAC"/>
    <w:rsid w:val="3B901BB6"/>
    <w:rsid w:val="3C883E7E"/>
    <w:rsid w:val="3CA6443D"/>
    <w:rsid w:val="3CDD0C28"/>
    <w:rsid w:val="3DC77778"/>
    <w:rsid w:val="3E6C65E5"/>
    <w:rsid w:val="3EE9033B"/>
    <w:rsid w:val="3F11769C"/>
    <w:rsid w:val="3F72544F"/>
    <w:rsid w:val="406432DB"/>
    <w:rsid w:val="40EE357F"/>
    <w:rsid w:val="42375A0F"/>
    <w:rsid w:val="42C214B2"/>
    <w:rsid w:val="42C24D0E"/>
    <w:rsid w:val="42F61606"/>
    <w:rsid w:val="43EE40D7"/>
    <w:rsid w:val="44181676"/>
    <w:rsid w:val="44674685"/>
    <w:rsid w:val="46FF5878"/>
    <w:rsid w:val="47240CD9"/>
    <w:rsid w:val="47262E63"/>
    <w:rsid w:val="473D7EEC"/>
    <w:rsid w:val="476E12E6"/>
    <w:rsid w:val="486B6CA1"/>
    <w:rsid w:val="48823D2D"/>
    <w:rsid w:val="48A83377"/>
    <w:rsid w:val="48F56F5E"/>
    <w:rsid w:val="493B3ED6"/>
    <w:rsid w:val="494C2058"/>
    <w:rsid w:val="4A364594"/>
    <w:rsid w:val="4AF3233B"/>
    <w:rsid w:val="4BC71DCB"/>
    <w:rsid w:val="4C4C618F"/>
    <w:rsid w:val="4C666265"/>
    <w:rsid w:val="4C6C6338"/>
    <w:rsid w:val="4E6167A4"/>
    <w:rsid w:val="509C51A3"/>
    <w:rsid w:val="517B1BFA"/>
    <w:rsid w:val="51B43B94"/>
    <w:rsid w:val="52962CE2"/>
    <w:rsid w:val="53081E57"/>
    <w:rsid w:val="53450869"/>
    <w:rsid w:val="53594A08"/>
    <w:rsid w:val="537B02A8"/>
    <w:rsid w:val="539C375E"/>
    <w:rsid w:val="53C601F7"/>
    <w:rsid w:val="53E77816"/>
    <w:rsid w:val="5406687D"/>
    <w:rsid w:val="5411022F"/>
    <w:rsid w:val="544A4643"/>
    <w:rsid w:val="5496672B"/>
    <w:rsid w:val="54E41E76"/>
    <w:rsid w:val="54FD3B4C"/>
    <w:rsid w:val="55183418"/>
    <w:rsid w:val="5565406F"/>
    <w:rsid w:val="55E27A66"/>
    <w:rsid w:val="569E5176"/>
    <w:rsid w:val="580107E0"/>
    <w:rsid w:val="585A537B"/>
    <w:rsid w:val="58F76F29"/>
    <w:rsid w:val="59811BDD"/>
    <w:rsid w:val="59B611D6"/>
    <w:rsid w:val="5A152B8E"/>
    <w:rsid w:val="5A29694A"/>
    <w:rsid w:val="5AA356A5"/>
    <w:rsid w:val="5B855AAC"/>
    <w:rsid w:val="5C1900D6"/>
    <w:rsid w:val="5C650FF8"/>
    <w:rsid w:val="5C6F2B80"/>
    <w:rsid w:val="5E680C54"/>
    <w:rsid w:val="5EA37AAF"/>
    <w:rsid w:val="5F136C67"/>
    <w:rsid w:val="5F5522B3"/>
    <w:rsid w:val="602131F8"/>
    <w:rsid w:val="60C27507"/>
    <w:rsid w:val="60DC786E"/>
    <w:rsid w:val="62177ADC"/>
    <w:rsid w:val="6225110F"/>
    <w:rsid w:val="62337D05"/>
    <w:rsid w:val="6316369A"/>
    <w:rsid w:val="632B2C0B"/>
    <w:rsid w:val="63B35A33"/>
    <w:rsid w:val="63CE5692"/>
    <w:rsid w:val="63D417EE"/>
    <w:rsid w:val="63E86A99"/>
    <w:rsid w:val="646C5A3D"/>
    <w:rsid w:val="64E5444F"/>
    <w:rsid w:val="6640653A"/>
    <w:rsid w:val="66777970"/>
    <w:rsid w:val="680971A8"/>
    <w:rsid w:val="68446C48"/>
    <w:rsid w:val="6873223C"/>
    <w:rsid w:val="691D346F"/>
    <w:rsid w:val="6AB54C48"/>
    <w:rsid w:val="6AD045B5"/>
    <w:rsid w:val="6C7F0BAD"/>
    <w:rsid w:val="6CA74043"/>
    <w:rsid w:val="6D4D406B"/>
    <w:rsid w:val="6D6A07FA"/>
    <w:rsid w:val="6E725263"/>
    <w:rsid w:val="6EC37860"/>
    <w:rsid w:val="6F9A64A6"/>
    <w:rsid w:val="6FA26FC6"/>
    <w:rsid w:val="709D0B2E"/>
    <w:rsid w:val="72092C28"/>
    <w:rsid w:val="72951719"/>
    <w:rsid w:val="72AA3BC7"/>
    <w:rsid w:val="738C44AC"/>
    <w:rsid w:val="74613512"/>
    <w:rsid w:val="74F742E0"/>
    <w:rsid w:val="751708F4"/>
    <w:rsid w:val="751B6D7B"/>
    <w:rsid w:val="756B594D"/>
    <w:rsid w:val="75E54DB7"/>
    <w:rsid w:val="765A2E32"/>
    <w:rsid w:val="76B17398"/>
    <w:rsid w:val="76F277BF"/>
    <w:rsid w:val="76F80885"/>
    <w:rsid w:val="773D53D1"/>
    <w:rsid w:val="785E05D6"/>
    <w:rsid w:val="78A873CE"/>
    <w:rsid w:val="7A1F73C9"/>
    <w:rsid w:val="7A53571C"/>
    <w:rsid w:val="7ABF4C7C"/>
    <w:rsid w:val="7B0B4561"/>
    <w:rsid w:val="7B2C04AF"/>
    <w:rsid w:val="7D0876DA"/>
    <w:rsid w:val="7D54525C"/>
    <w:rsid w:val="7D940F92"/>
    <w:rsid w:val="7E1E1C56"/>
    <w:rsid w:val="7E652098"/>
    <w:rsid w:val="7EA01C06"/>
    <w:rsid w:val="7ED43308"/>
    <w:rsid w:val="7F0D3651"/>
    <w:rsid w:val="7F8561B4"/>
    <w:rsid w:val="7FA17062"/>
    <w:rsid w:val="7FF113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3">
    <w:name w:val="annotation text"/>
    <w:basedOn w:val="1"/>
    <w:link w:val="21"/>
    <w:unhideWhenUsed/>
    <w:qFormat/>
    <w:uiPriority w:val="99"/>
    <w:pPr>
      <w:jc w:val="left"/>
    </w:pPr>
  </w:style>
  <w:style w:type="paragraph" w:styleId="4">
    <w:name w:val="Body Text Indent"/>
    <w:basedOn w:val="1"/>
    <w:link w:val="24"/>
    <w:unhideWhenUsed/>
    <w:qFormat/>
    <w:uiPriority w:val="99"/>
    <w:pPr>
      <w:spacing w:after="120"/>
      <w:ind w:left="420" w:leftChars="200"/>
    </w:pPr>
  </w:style>
  <w:style w:type="paragraph" w:styleId="5">
    <w:name w:val="Balloon Text"/>
    <w:basedOn w:val="1"/>
    <w:link w:val="19"/>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0"/>
    <w:pPr>
      <w:snapToGrid w:val="0"/>
      <w:jc w:val="left"/>
    </w:pPr>
    <w:rPr>
      <w:sz w:val="18"/>
    </w:rPr>
  </w:style>
  <w:style w:type="paragraph" w:styleId="9">
    <w:name w:val="annotation subject"/>
    <w:basedOn w:val="3"/>
    <w:next w:val="3"/>
    <w:link w:val="20"/>
    <w:unhideWhenUsed/>
    <w:qFormat/>
    <w:uiPriority w:val="99"/>
    <w:rPr>
      <w:b/>
      <w:bCs/>
    </w:rPr>
  </w:style>
  <w:style w:type="character" w:styleId="12">
    <w:name w:val="Strong"/>
    <w:basedOn w:val="11"/>
    <w:qFormat/>
    <w:uiPriority w:val="0"/>
    <w:rPr>
      <w:b/>
      <w:bCs/>
    </w:rPr>
  </w:style>
  <w:style w:type="character" w:styleId="13">
    <w:name w:val="page number"/>
    <w:basedOn w:val="11"/>
    <w:unhideWhenUsed/>
    <w:qFormat/>
    <w:uiPriority w:val="99"/>
  </w:style>
  <w:style w:type="character" w:styleId="14">
    <w:name w:val="annotation reference"/>
    <w:basedOn w:val="11"/>
    <w:unhideWhenUsed/>
    <w:qFormat/>
    <w:uiPriority w:val="99"/>
    <w:rPr>
      <w:sz w:val="21"/>
      <w:szCs w:val="21"/>
    </w:rPr>
  </w:style>
  <w:style w:type="character" w:styleId="15">
    <w:name w:val="footnote reference"/>
    <w:basedOn w:val="11"/>
    <w:unhideWhenUsed/>
    <w:qFormat/>
    <w:uiPriority w:val="0"/>
    <w:rPr>
      <w:vertAlign w:val="superscript"/>
    </w:rPr>
  </w:style>
  <w:style w:type="paragraph" w:customStyle="1" w:styleId="16">
    <w:name w:val="特点"/>
    <w:basedOn w:val="1"/>
    <w:next w:val="4"/>
    <w:qFormat/>
    <w:uiPriority w:val="0"/>
    <w:pPr>
      <w:spacing w:line="300" w:lineRule="exact"/>
      <w:ind w:right="26" w:firstLine="435"/>
    </w:pPr>
    <w:rPr>
      <w:rFonts w:ascii="Times New Roman" w:hAnsi="Times New Roman" w:eastAsia="黑体" w:cs="Times New Roman"/>
      <w:sz w:val="18"/>
      <w:szCs w:val="20"/>
    </w:rPr>
  </w:style>
  <w:style w:type="paragraph" w:customStyle="1" w:styleId="17">
    <w:name w:val="正文文本缩进 31"/>
    <w:basedOn w:val="1"/>
    <w:qFormat/>
    <w:uiPriority w:val="0"/>
    <w:pPr>
      <w:spacing w:after="120"/>
      <w:ind w:left="420" w:leftChars="200"/>
    </w:pPr>
    <w:rPr>
      <w:rFonts w:ascii="Times New Roman" w:hAnsi="Times New Roman" w:cs="Times New Roman"/>
      <w:sz w:val="16"/>
      <w:szCs w:val="16"/>
    </w:rPr>
  </w:style>
  <w:style w:type="paragraph" w:customStyle="1" w:styleId="18">
    <w:name w:val="Default"/>
    <w:unhideWhenUsed/>
    <w:qFormat/>
    <w:uiPriority w:val="99"/>
    <w:pPr>
      <w:widowControl w:val="0"/>
      <w:autoSpaceDE w:val="0"/>
      <w:autoSpaceDN w:val="0"/>
    </w:pPr>
    <w:rPr>
      <w:rFonts w:hint="eastAsia" w:ascii="仿宋" w:hAnsi="仿宋" w:eastAsia="仿宋" w:cs="Calibri"/>
      <w:color w:val="000000"/>
      <w:sz w:val="24"/>
      <w:lang w:val="en-US" w:eastAsia="zh-CN" w:bidi="ar-SA"/>
    </w:rPr>
  </w:style>
  <w:style w:type="character" w:customStyle="1" w:styleId="19">
    <w:name w:val="批注框文本 字符"/>
    <w:basedOn w:val="11"/>
    <w:link w:val="5"/>
    <w:qFormat/>
    <w:uiPriority w:val="99"/>
    <w:rPr>
      <w:sz w:val="18"/>
      <w:szCs w:val="18"/>
    </w:rPr>
  </w:style>
  <w:style w:type="character" w:customStyle="1" w:styleId="20">
    <w:name w:val="批注主题 字符"/>
    <w:basedOn w:val="21"/>
    <w:link w:val="9"/>
    <w:qFormat/>
    <w:uiPriority w:val="99"/>
    <w:rPr>
      <w:b/>
      <w:bCs/>
    </w:rPr>
  </w:style>
  <w:style w:type="character" w:customStyle="1" w:styleId="21">
    <w:name w:val="批注文字 字符"/>
    <w:basedOn w:val="11"/>
    <w:link w:val="3"/>
    <w:qFormat/>
    <w:uiPriority w:val="99"/>
  </w:style>
  <w:style w:type="character" w:customStyle="1" w:styleId="22">
    <w:name w:val="页眉 字符"/>
    <w:basedOn w:val="11"/>
    <w:link w:val="7"/>
    <w:qFormat/>
    <w:uiPriority w:val="99"/>
    <w:rPr>
      <w:sz w:val="18"/>
      <w:szCs w:val="18"/>
    </w:rPr>
  </w:style>
  <w:style w:type="character" w:customStyle="1" w:styleId="23">
    <w:name w:val="页脚 字符"/>
    <w:basedOn w:val="11"/>
    <w:link w:val="6"/>
    <w:qFormat/>
    <w:uiPriority w:val="99"/>
    <w:rPr>
      <w:sz w:val="18"/>
      <w:szCs w:val="18"/>
    </w:rPr>
  </w:style>
  <w:style w:type="character" w:customStyle="1" w:styleId="24">
    <w:name w:val="正文文本缩进 字符"/>
    <w:basedOn w:val="11"/>
    <w:link w:val="4"/>
    <w:qFormat/>
    <w:uiPriority w:val="99"/>
  </w:style>
  <w:style w:type="paragraph" w:customStyle="1" w:styleId="25">
    <w:name w:val="修订1"/>
    <w:hidden/>
    <w:semiHidden/>
    <w:qFormat/>
    <w:uiPriority w:val="99"/>
    <w:rPr>
      <w:rFonts w:ascii="Calibri" w:hAnsi="Calibri" w:eastAsia="宋体" w:cs="Calibri"/>
      <w:kern w:val="2"/>
      <w:sz w:val="21"/>
      <w:szCs w:val="22"/>
      <w:lang w:val="en-US" w:eastAsia="zh-CN" w:bidi="ar-SA"/>
    </w:rPr>
  </w:style>
  <w:style w:type="paragraph" w:customStyle="1" w:styleId="26">
    <w:name w:val="修订2"/>
    <w:hidden/>
    <w:semiHidden/>
    <w:qFormat/>
    <w:uiPriority w:val="99"/>
    <w:rPr>
      <w:rFonts w:ascii="Calibri" w:hAnsi="Calibri" w:eastAsia="宋体" w:cs="Calibri"/>
      <w:kern w:val="2"/>
      <w:sz w:val="21"/>
      <w:szCs w:val="22"/>
      <w:lang w:val="en-US" w:eastAsia="zh-CN" w:bidi="ar-SA"/>
    </w:rPr>
  </w:style>
  <w:style w:type="paragraph" w:customStyle="1" w:styleId="27">
    <w:name w:val="修订3"/>
    <w:hidden/>
    <w:semiHidden/>
    <w:qFormat/>
    <w:uiPriority w:val="99"/>
    <w:rPr>
      <w:rFonts w:ascii="Calibri" w:hAnsi="Calibri" w:eastAsia="宋体" w:cs="Calibri"/>
      <w:kern w:val="2"/>
      <w:sz w:val="21"/>
      <w:szCs w:val="22"/>
      <w:lang w:val="en-US" w:eastAsia="zh-CN" w:bidi="ar-SA"/>
    </w:rPr>
  </w:style>
  <w:style w:type="paragraph" w:customStyle="1" w:styleId="28">
    <w:name w:val="修订4"/>
    <w:hidden/>
    <w:semiHidden/>
    <w:qFormat/>
    <w:uiPriority w:val="99"/>
    <w:rPr>
      <w:rFonts w:ascii="Calibri" w:hAnsi="Calibri" w:eastAsia="宋体" w:cs="Calibri"/>
      <w:kern w:val="2"/>
      <w:sz w:val="21"/>
      <w:szCs w:val="22"/>
      <w:lang w:val="en-US" w:eastAsia="zh-CN" w:bidi="ar-SA"/>
    </w:rPr>
  </w:style>
  <w:style w:type="paragraph" w:customStyle="1" w:styleId="29">
    <w:name w:val="修订5"/>
    <w:hidden/>
    <w:semiHidden/>
    <w:qFormat/>
    <w:uiPriority w:val="99"/>
    <w:rPr>
      <w:rFonts w:ascii="Calibri" w:hAnsi="Calibri" w:eastAsia="宋体" w:cs="Calibri"/>
      <w:kern w:val="2"/>
      <w:sz w:val="21"/>
      <w:szCs w:val="22"/>
      <w:lang w:val="en-US" w:eastAsia="zh-CN" w:bidi="ar-SA"/>
    </w:rPr>
  </w:style>
  <w:style w:type="character" w:customStyle="1" w:styleId="30">
    <w:name w:val="fontstyle01"/>
    <w:basedOn w:val="11"/>
    <w:qFormat/>
    <w:uiPriority w:val="0"/>
    <w:rPr>
      <w:rFonts w:hint="eastAsia" w:ascii="宋体" w:hAnsi="宋体" w:eastAsia="宋体"/>
      <w:color w:val="000000"/>
      <w:sz w:val="24"/>
      <w:szCs w:val="24"/>
    </w:rPr>
  </w:style>
  <w:style w:type="paragraph" w:customStyle="1" w:styleId="31">
    <w:name w:val="修订6"/>
    <w:hidden/>
    <w:semiHidden/>
    <w:qFormat/>
    <w:uiPriority w:val="99"/>
    <w:rPr>
      <w:rFonts w:ascii="Calibri" w:hAnsi="Calibri" w:eastAsia="宋体" w:cs="Calibri"/>
      <w:kern w:val="2"/>
      <w:sz w:val="21"/>
      <w:szCs w:val="22"/>
      <w:lang w:val="en-US" w:eastAsia="zh-CN" w:bidi="ar-SA"/>
    </w:rPr>
  </w:style>
  <w:style w:type="paragraph" w:customStyle="1" w:styleId="32">
    <w:name w:val="修订7"/>
    <w:hidden/>
    <w:semiHidden/>
    <w:qFormat/>
    <w:uiPriority w:val="99"/>
    <w:rPr>
      <w:rFonts w:ascii="Calibri" w:hAnsi="Calibri" w:eastAsia="宋体" w:cs="Calibri"/>
      <w:kern w:val="2"/>
      <w:sz w:val="21"/>
      <w:szCs w:val="22"/>
      <w:lang w:val="en-US" w:eastAsia="zh-CN" w:bidi="ar-SA"/>
    </w:rPr>
  </w:style>
  <w:style w:type="paragraph" w:customStyle="1" w:styleId="33">
    <w:name w:val="修订8"/>
    <w:hidden/>
    <w:unhideWhenUsed/>
    <w:qFormat/>
    <w:uiPriority w:val="99"/>
    <w:rPr>
      <w:rFonts w:ascii="Calibri" w:hAnsi="Calibri" w:eastAsia="宋体" w:cs="Calibri"/>
      <w:kern w:val="2"/>
      <w:sz w:val="21"/>
      <w:szCs w:val="22"/>
      <w:lang w:val="en-US" w:eastAsia="zh-CN" w:bidi="ar-SA"/>
    </w:rPr>
  </w:style>
  <w:style w:type="paragraph" w:customStyle="1" w:styleId="34">
    <w:name w:val="修订9"/>
    <w:hidden/>
    <w:unhideWhenUsed/>
    <w:qFormat/>
    <w:uiPriority w:val="99"/>
    <w:rPr>
      <w:rFonts w:ascii="Calibri" w:hAnsi="Calibri" w:eastAsia="宋体" w:cs="Calibri"/>
      <w:kern w:val="2"/>
      <w:sz w:val="21"/>
      <w:szCs w:val="22"/>
      <w:lang w:val="en-US" w:eastAsia="zh-CN" w:bidi="ar-SA"/>
    </w:rPr>
  </w:style>
  <w:style w:type="paragraph" w:customStyle="1" w:styleId="35">
    <w:name w:val="修订10"/>
    <w:hidden/>
    <w:unhideWhenUsed/>
    <w:qFormat/>
    <w:uiPriority w:val="99"/>
    <w:rPr>
      <w:rFonts w:ascii="Calibri" w:hAnsi="Calibri" w:eastAsia="宋体" w:cs="Calibri"/>
      <w:kern w:val="2"/>
      <w:sz w:val="21"/>
      <w:szCs w:val="22"/>
      <w:lang w:val="en-US" w:eastAsia="zh-CN" w:bidi="ar-SA"/>
    </w:rPr>
  </w:style>
  <w:style w:type="paragraph" w:customStyle="1" w:styleId="36">
    <w:name w:val="Revision"/>
    <w:hidden/>
    <w:unhideWhenUsed/>
    <w:qFormat/>
    <w:uiPriority w:val="99"/>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BANK OF GUIZHOU</Company>
  <Pages>12</Pages>
  <Words>7313</Words>
  <Characters>7667</Characters>
  <Lines>58</Lines>
  <Paragraphs>16</Paragraphs>
  <TotalTime>43</TotalTime>
  <ScaleCrop>false</ScaleCrop>
  <LinksUpToDate>false</LinksUpToDate>
  <CharactersWithSpaces>7934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2023-06-28T01:37:00Z</dcterms:created>
  <dc:creator>Administrator</dc:creator>
  <cp:lastModifiedBy>iou ye</cp:lastModifiedBy>
  <cp:lastPrinted>2021-10-29T16:16:00Z</cp:lastPrinted>
  <dcterms:modified xsi:type="dcterms:W3CDTF">2024-11-28T05:49:49Z</dcterms:modified>
  <dc:title>贵州银行“贵银恒利2号第77期”理财产品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DBE8304B26AE4C85A727B5FF7FA6BF59</vt:lpwstr>
  </property>
</Properties>
</file>