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jc w:val="center"/>
        <w:textAlignment w:val="auto"/>
        <w:outlineLvl w:val="0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贵州银行数据处理服务采购项目（2027-2029年度法院涉诉个人风险数据）需求概要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  <w:t>说明书</w:t>
      </w:r>
    </w:p>
    <w:p>
      <w:pPr>
        <w:bidi w:val="0"/>
        <w:rPr>
          <w:rFonts w:hint="eastAsia"/>
        </w:rPr>
      </w:pPr>
    </w:p>
    <w:p>
      <w:pPr>
        <w:pStyle w:val="3"/>
        <w:bidi w:val="0"/>
        <w:rPr>
          <w:rFonts w:hint="eastAsia"/>
        </w:rPr>
      </w:pPr>
      <w:r>
        <w:rPr>
          <w:rFonts w:hint="eastAsia"/>
        </w:rPr>
        <w:t>一、项目说明</w:t>
      </w:r>
    </w:p>
    <w:p>
      <w:pPr>
        <w:bidi w:val="0"/>
        <w:rPr>
          <w:rFonts w:hint="eastAsia"/>
        </w:rPr>
      </w:pPr>
      <w:r>
        <w:rPr>
          <w:rFonts w:hint="eastAsia"/>
        </w:rPr>
        <w:t>本文档作为贵州</w:t>
      </w:r>
      <w:r>
        <w:rPr>
          <w:rFonts w:hint="eastAsia"/>
          <w:lang w:val="en-US" w:eastAsia="zh-CN"/>
        </w:rPr>
        <w:t>银行2027-2029年度法院涉诉个人风险数据</w:t>
      </w:r>
      <w:r>
        <w:rPr>
          <w:rFonts w:hint="eastAsia"/>
        </w:rPr>
        <w:t>采购项目</w:t>
      </w:r>
      <w:r>
        <w:rPr>
          <w:rFonts w:hint="eastAsia"/>
          <w:lang w:val="en-US" w:eastAsia="zh-CN"/>
        </w:rPr>
        <w:t>公开征集供应商公告</w:t>
      </w:r>
      <w:r>
        <w:rPr>
          <w:rFonts w:hint="eastAsia"/>
        </w:rPr>
        <w:t>附件，</w:t>
      </w:r>
      <w:r>
        <w:rPr>
          <w:rFonts w:hint="eastAsia"/>
          <w:lang w:val="en-US" w:eastAsia="zh-CN"/>
        </w:rPr>
        <w:t>为</w:t>
      </w:r>
      <w:r>
        <w:rPr>
          <w:rFonts w:hint="eastAsia"/>
        </w:rPr>
        <w:t>服务厂商</w:t>
      </w:r>
      <w:r>
        <w:rPr>
          <w:rFonts w:hint="eastAsia"/>
          <w:lang w:val="en-US" w:eastAsia="zh-CN"/>
        </w:rPr>
        <w:t>提供</w:t>
      </w:r>
      <w:r>
        <w:rPr>
          <w:rFonts w:hint="eastAsia"/>
        </w:rPr>
        <w:t>项目</w:t>
      </w:r>
      <w:r>
        <w:rPr>
          <w:rFonts w:hint="eastAsia"/>
          <w:lang w:val="en-US" w:eastAsia="zh-CN"/>
        </w:rPr>
        <w:t>概况介绍</w:t>
      </w:r>
      <w:r>
        <w:rPr>
          <w:rFonts w:hint="eastAsia"/>
        </w:rPr>
        <w:t>。</w:t>
      </w:r>
    </w:p>
    <w:p>
      <w:pPr>
        <w:pStyle w:val="3"/>
        <w:bidi w:val="0"/>
        <w:rPr>
          <w:rFonts w:hint="eastAsia"/>
        </w:rPr>
      </w:pPr>
      <w:r>
        <w:rPr>
          <w:rFonts w:hint="eastAsia"/>
        </w:rPr>
        <w:t>二、项目名称</w:t>
      </w:r>
    </w:p>
    <w:p>
      <w:pPr>
        <w:bidi w:val="0"/>
        <w:ind w:firstLine="640"/>
        <w:rPr>
          <w:rFonts w:hint="eastAsia"/>
        </w:rPr>
      </w:pPr>
      <w:r>
        <w:rPr>
          <w:rFonts w:hint="eastAsia"/>
        </w:rPr>
        <w:t>贵州银行数据处理服务采购项目（2027-2029年度法院涉诉个人风险数据）</w:t>
      </w:r>
    </w:p>
    <w:p>
      <w:pPr>
        <w:pStyle w:val="3"/>
        <w:bidi w:val="0"/>
        <w:rPr>
          <w:rFonts w:hint="eastAsia"/>
        </w:rPr>
      </w:pPr>
      <w:r>
        <w:rPr>
          <w:rFonts w:hint="eastAsia"/>
        </w:rPr>
        <w:t>三、</w:t>
      </w:r>
      <w:r>
        <w:rPr>
          <w:rFonts w:hint="eastAsia"/>
          <w:lang w:val="en-US" w:eastAsia="zh-CN"/>
        </w:rPr>
        <w:t>采购</w:t>
      </w:r>
      <w:r>
        <w:rPr>
          <w:rFonts w:hint="eastAsia"/>
        </w:rPr>
        <w:t>目标</w:t>
      </w:r>
    </w:p>
    <w:p>
      <w:pPr>
        <w:bidi w:val="0"/>
        <w:ind w:firstLine="640" w:firstLineChars="200"/>
        <w:jc w:val="both"/>
        <w:rPr>
          <w:rFonts w:hint="eastAsia" w:eastAsia="仿宋_GB2312" w:cs="仿宋_GB2312"/>
          <w:lang w:val="en-US" w:eastAsia="zh-CN"/>
        </w:rPr>
      </w:pPr>
      <w:r>
        <w:rPr>
          <w:rFonts w:hint="eastAsia" w:ascii="仿宋_GB2312" w:hAnsi="仿宋_GB2312" w:eastAsia="仿宋_GB2312" w:cs="仿宋_GB2312"/>
          <w:lang w:eastAsia="zh-CN"/>
        </w:rPr>
        <w:t>本项目</w:t>
      </w:r>
      <w:r>
        <w:rPr>
          <w:rFonts w:hint="eastAsia" w:ascii="仿宋_GB2312" w:hAnsi="仿宋_GB2312" w:eastAsia="仿宋_GB2312" w:cs="仿宋_GB2312"/>
          <w:sz w:val="32"/>
          <w:szCs w:val="24"/>
        </w:rPr>
        <w:t>服务期限自2026年11月26日起至2029年11月25日止，有效期三年</w:t>
      </w:r>
      <w:bookmarkStart w:id="0" w:name="_GoBack"/>
      <w:bookmarkEnd w:id="0"/>
      <w:r>
        <w:rPr>
          <w:rFonts w:hint="eastAsia" w:cs="仿宋_GB2312"/>
          <w:lang w:val="en-US" w:eastAsia="zh-CN"/>
        </w:rPr>
        <w:t>。</w:t>
      </w:r>
    </w:p>
    <w:p>
      <w:pPr>
        <w:pStyle w:val="3"/>
        <w:bidi w:val="0"/>
        <w:rPr>
          <w:rFonts w:hint="eastAsia"/>
        </w:rPr>
      </w:pPr>
      <w:r>
        <w:rPr>
          <w:rFonts w:hint="eastAsia"/>
        </w:rPr>
        <w:t>四、服务内容及要求</w:t>
      </w:r>
    </w:p>
    <w:p>
      <w:pPr>
        <w:pStyle w:val="4"/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（一）服务清单如下：</w:t>
      </w:r>
    </w:p>
    <w:tbl>
      <w:tblPr>
        <w:tblStyle w:val="15"/>
        <w:tblW w:w="4869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25"/>
        <w:gridCol w:w="2130"/>
        <w:gridCol w:w="404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80" w:type="pct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560" w:lineRule="exact"/>
              <w:ind w:firstLine="0" w:firstLineChars="0"/>
              <w:jc w:val="center"/>
              <w:textAlignment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产品名称</w:t>
            </w:r>
          </w:p>
        </w:tc>
        <w:tc>
          <w:tcPr>
            <w:tcW w:w="1283" w:type="pct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560" w:lineRule="exact"/>
              <w:ind w:firstLine="0" w:firstLineChars="0"/>
              <w:jc w:val="center"/>
              <w:textAlignment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预估调用量（万次）</w:t>
            </w:r>
          </w:p>
        </w:tc>
        <w:tc>
          <w:tcPr>
            <w:tcW w:w="2435" w:type="pct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560" w:lineRule="exact"/>
              <w:ind w:firstLine="0" w:firstLineChars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产品要求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80" w:type="pct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56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个人司法风险信号信息查询</w:t>
            </w:r>
          </w:p>
        </w:tc>
        <w:tc>
          <w:tcPr>
            <w:tcW w:w="1283" w:type="pct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56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497.4</w:t>
            </w:r>
          </w:p>
        </w:tc>
        <w:tc>
          <w:tcPr>
            <w:tcW w:w="2435" w:type="pct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40" w:lineRule="auto"/>
              <w:ind w:firstLine="0" w:firstLineChars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1.应包含裁判文书、曝光台、执行信息、失信信息、开庭公告、案件流程、法院公告等风险信息；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40" w:lineRule="auto"/>
              <w:ind w:firstLine="0" w:firstLineChars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2.客户涉诉纠纷、强制执行、资产查封、债务违约等司法信息；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40" w:lineRule="auto"/>
              <w:ind w:firstLine="0" w:firstLineChars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3.风险信号详情含全量司法风险详情，高精度解析标签信号，7级风险等级分类，风险大小类别，定级原因等。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80" w:type="pct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56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司法风险信号信息详情查询</w:t>
            </w:r>
          </w:p>
        </w:tc>
        <w:tc>
          <w:tcPr>
            <w:tcW w:w="1283" w:type="pct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56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45</w:t>
            </w:r>
          </w:p>
        </w:tc>
        <w:tc>
          <w:tcPr>
            <w:tcW w:w="2435" w:type="pct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560" w:lineRule="exact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</w:tbl>
    <w:p>
      <w:pPr>
        <w:pStyle w:val="4"/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（二）服务要求如下：</w:t>
      </w:r>
    </w:p>
    <w:p>
      <w:pPr>
        <w:bidi w:val="0"/>
        <w:ind w:firstLine="640"/>
        <w:rPr>
          <w:rFonts w:hint="default" w:cs="Times New Roman"/>
          <w:lang w:val="en-US" w:eastAsia="zh-CN"/>
        </w:rPr>
      </w:pPr>
      <w:r>
        <w:rPr>
          <w:rFonts w:hint="default" w:cs="Times New Roman"/>
          <w:lang w:val="en-US" w:eastAsia="zh-CN"/>
        </w:rPr>
        <w:t>1.应支持采用https协议进行数据交互。</w:t>
      </w:r>
    </w:p>
    <w:p>
      <w:pPr>
        <w:bidi w:val="0"/>
        <w:ind w:firstLine="640"/>
        <w:rPr>
          <w:rFonts w:hint="default" w:cs="Times New Roman"/>
          <w:lang w:val="en-US" w:eastAsia="zh-CN"/>
        </w:rPr>
      </w:pPr>
      <w:r>
        <w:rPr>
          <w:rFonts w:hint="default" w:cs="Times New Roman"/>
          <w:lang w:val="en-US" w:eastAsia="zh-CN"/>
        </w:rPr>
        <w:t>2.API请求支持post/get等多种方式提交，API返回json字符串。</w:t>
      </w:r>
    </w:p>
    <w:p>
      <w:pPr>
        <w:bidi w:val="0"/>
        <w:ind w:firstLine="640"/>
        <w:rPr>
          <w:rFonts w:hint="default" w:cs="Times New Roman"/>
          <w:lang w:val="en-US" w:eastAsia="zh-CN"/>
        </w:rPr>
      </w:pPr>
      <w:r>
        <w:rPr>
          <w:rFonts w:hint="default" w:cs="Times New Roman"/>
          <w:lang w:val="en-US" w:eastAsia="zh-CN"/>
        </w:rPr>
        <w:t>3.API返回的json编码格式为utf-8。</w:t>
      </w:r>
    </w:p>
    <w:p>
      <w:pPr>
        <w:bidi w:val="0"/>
        <w:ind w:firstLine="640"/>
        <w:rPr>
          <w:rFonts w:hint="default" w:cs="Times New Roman"/>
          <w:lang w:val="en-US" w:eastAsia="zh-CN"/>
        </w:rPr>
      </w:pPr>
      <w:r>
        <w:rPr>
          <w:rFonts w:hint="default" w:cs="Times New Roman"/>
          <w:lang w:val="en-US" w:eastAsia="zh-CN"/>
        </w:rPr>
        <w:t>4.API接口响应时间不超过1秒。</w:t>
      </w:r>
    </w:p>
    <w:p>
      <w:pPr>
        <w:bidi w:val="0"/>
        <w:ind w:firstLine="640"/>
        <w:rPr>
          <w:rFonts w:hint="default" w:cs="Times New Roman"/>
          <w:lang w:val="en-US" w:eastAsia="zh-CN"/>
        </w:rPr>
      </w:pPr>
      <w:r>
        <w:rPr>
          <w:rFonts w:hint="default" w:cs="Times New Roman"/>
          <w:lang w:val="en-US" w:eastAsia="zh-CN"/>
        </w:rPr>
        <w:t>5.服务提供方应提供固定域名或ip用以接收请求。</w:t>
      </w:r>
    </w:p>
    <w:p>
      <w:pPr>
        <w:bidi w:val="0"/>
        <w:ind w:firstLine="640"/>
        <w:rPr>
          <w:rFonts w:hint="default" w:cs="Times New Roman"/>
          <w:lang w:val="en-US" w:eastAsia="zh-CN"/>
        </w:rPr>
      </w:pPr>
      <w:r>
        <w:rPr>
          <w:rFonts w:hint="default" w:cs="Times New Roman"/>
          <w:lang w:val="en-US" w:eastAsia="zh-CN"/>
        </w:rPr>
        <w:t>6.数据来源合法合规，符合国家数据安全、个人信息保护及金融监管相关规定，具备完整数据授权资质，可提供合规证明文件。</w:t>
      </w:r>
    </w:p>
    <w:p>
      <w:pPr>
        <w:pStyle w:val="3"/>
        <w:numPr>
          <w:ilvl w:val="0"/>
          <w:numId w:val="1"/>
        </w:numPr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供应商准入条件（资质要求）</w:t>
      </w:r>
    </w:p>
    <w:p>
      <w:pPr>
        <w:pStyle w:val="5"/>
        <w:ind w:firstLine="640" w:firstLineChars="20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1.具有相应的民事行为能力，具有独立承担民事义务的能力。</w:t>
      </w:r>
    </w:p>
    <w:p>
      <w:pPr>
        <w:pStyle w:val="5"/>
        <w:ind w:firstLine="640" w:firstLineChars="20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2.具有良好的商业信誉和健全的财务会计制度。</w:t>
      </w:r>
    </w:p>
    <w:p>
      <w:pPr>
        <w:pStyle w:val="5"/>
        <w:ind w:firstLine="640" w:firstLineChars="20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3.具有履行合同所必需的条件，如设备、专业技术能力。</w:t>
      </w:r>
    </w:p>
    <w:p>
      <w:pPr>
        <w:pStyle w:val="5"/>
        <w:ind w:firstLine="640" w:firstLineChars="20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4.有依法缴纳税收和社会保障资金的良好记录。</w:t>
      </w:r>
    </w:p>
    <w:p>
      <w:pPr>
        <w:pStyle w:val="5"/>
        <w:ind w:firstLine="640" w:firstLineChars="20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5.信用情况良好，在最近三年经营活动中，没有重大违法记录，未被列为失信被执行人。</w:t>
      </w:r>
    </w:p>
    <w:p>
      <w:pPr>
        <w:pStyle w:val="5"/>
        <w:ind w:firstLine="640" w:firstLineChars="20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6.最近三年内与我行无法律诉讼或违约纠纷。</w:t>
      </w:r>
    </w:p>
    <w:p>
      <w:pPr>
        <w:pStyle w:val="5"/>
        <w:ind w:firstLine="640" w:firstLineChars="20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7.未被我行列入不良类黑名单（限制期限已届满的除外）。</w:t>
      </w:r>
    </w:p>
    <w:p>
      <w:pPr>
        <w:pStyle w:val="5"/>
        <w:ind w:firstLine="640" w:firstLineChars="20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8.本项目不接受联合体投标，不允许转包或分包。</w:t>
      </w:r>
    </w:p>
    <w:p>
      <w:pPr>
        <w:pStyle w:val="5"/>
        <w:ind w:firstLine="640" w:firstLineChars="20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9.具备个人征信牌照。</w:t>
      </w: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CC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华文仿宋">
    <w:altName w:val="仿宋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DF44932"/>
    <w:multiLevelType w:val="singleLevel"/>
    <w:tmpl w:val="0DF44932"/>
    <w:lvl w:ilvl="0" w:tentative="0">
      <w:start w:val="5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 w:val="1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doNotValidateAgainstSchema/>
  <w:doNotDemarcateInvalidXml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2476114"/>
    <w:rsid w:val="02CF14AA"/>
    <w:rsid w:val="03164D2D"/>
    <w:rsid w:val="033C75CC"/>
    <w:rsid w:val="053F1207"/>
    <w:rsid w:val="06E111B6"/>
    <w:rsid w:val="07EC1847"/>
    <w:rsid w:val="095C586C"/>
    <w:rsid w:val="0CAC3FA3"/>
    <w:rsid w:val="0CB97E4F"/>
    <w:rsid w:val="0CD44945"/>
    <w:rsid w:val="0D467EC4"/>
    <w:rsid w:val="0FF87E91"/>
    <w:rsid w:val="106C341F"/>
    <w:rsid w:val="11136CD1"/>
    <w:rsid w:val="12D62FF1"/>
    <w:rsid w:val="135D7AF9"/>
    <w:rsid w:val="149631FD"/>
    <w:rsid w:val="14B6371C"/>
    <w:rsid w:val="14ED2C64"/>
    <w:rsid w:val="1559202D"/>
    <w:rsid w:val="160B3B4A"/>
    <w:rsid w:val="1741567C"/>
    <w:rsid w:val="185C5819"/>
    <w:rsid w:val="18B9039C"/>
    <w:rsid w:val="1920759E"/>
    <w:rsid w:val="19C04E5F"/>
    <w:rsid w:val="1D5F2C12"/>
    <w:rsid w:val="1F693264"/>
    <w:rsid w:val="1F8A1152"/>
    <w:rsid w:val="227010BD"/>
    <w:rsid w:val="23352C6B"/>
    <w:rsid w:val="23880F5A"/>
    <w:rsid w:val="243954AE"/>
    <w:rsid w:val="2480039E"/>
    <w:rsid w:val="25D55692"/>
    <w:rsid w:val="26AD364F"/>
    <w:rsid w:val="27950C70"/>
    <w:rsid w:val="28851226"/>
    <w:rsid w:val="2A1A5AA6"/>
    <w:rsid w:val="2A7531EB"/>
    <w:rsid w:val="2E1961E1"/>
    <w:rsid w:val="33964B28"/>
    <w:rsid w:val="37684573"/>
    <w:rsid w:val="39894D8E"/>
    <w:rsid w:val="3C6C0E2E"/>
    <w:rsid w:val="3E67031B"/>
    <w:rsid w:val="3FB84940"/>
    <w:rsid w:val="3FD6077F"/>
    <w:rsid w:val="402602AD"/>
    <w:rsid w:val="408C189B"/>
    <w:rsid w:val="4120776B"/>
    <w:rsid w:val="41DD4D55"/>
    <w:rsid w:val="420B587A"/>
    <w:rsid w:val="441D7B27"/>
    <w:rsid w:val="456D26F5"/>
    <w:rsid w:val="47AA4E46"/>
    <w:rsid w:val="489F10A4"/>
    <w:rsid w:val="49B01D18"/>
    <w:rsid w:val="4A737F34"/>
    <w:rsid w:val="4B1F5D09"/>
    <w:rsid w:val="4B3B6034"/>
    <w:rsid w:val="4C265E72"/>
    <w:rsid w:val="4C3D6719"/>
    <w:rsid w:val="4C5058C9"/>
    <w:rsid w:val="4E976967"/>
    <w:rsid w:val="4F544BD3"/>
    <w:rsid w:val="51513922"/>
    <w:rsid w:val="51BA14F9"/>
    <w:rsid w:val="534539DB"/>
    <w:rsid w:val="53C66CB2"/>
    <w:rsid w:val="53F14F37"/>
    <w:rsid w:val="54442DCE"/>
    <w:rsid w:val="54825065"/>
    <w:rsid w:val="55802B56"/>
    <w:rsid w:val="585F238B"/>
    <w:rsid w:val="59D75EED"/>
    <w:rsid w:val="5A4945E9"/>
    <w:rsid w:val="5AEB7B8E"/>
    <w:rsid w:val="5C3B08FE"/>
    <w:rsid w:val="5DBE259C"/>
    <w:rsid w:val="5DC8731F"/>
    <w:rsid w:val="6066337F"/>
    <w:rsid w:val="637B1AE0"/>
    <w:rsid w:val="64472F94"/>
    <w:rsid w:val="65E17B3C"/>
    <w:rsid w:val="66104CAF"/>
    <w:rsid w:val="678B794E"/>
    <w:rsid w:val="67FF5125"/>
    <w:rsid w:val="6A1C6BB3"/>
    <w:rsid w:val="6BA73AAA"/>
    <w:rsid w:val="6BBB33D4"/>
    <w:rsid w:val="6C63270C"/>
    <w:rsid w:val="6C647B0C"/>
    <w:rsid w:val="6CEC6726"/>
    <w:rsid w:val="6D7251C7"/>
    <w:rsid w:val="6DDD7070"/>
    <w:rsid w:val="6F532F3D"/>
    <w:rsid w:val="71E44F90"/>
    <w:rsid w:val="71FD65FB"/>
    <w:rsid w:val="7274069C"/>
    <w:rsid w:val="73FF295B"/>
    <w:rsid w:val="74001BD5"/>
    <w:rsid w:val="76706638"/>
    <w:rsid w:val="7688407B"/>
    <w:rsid w:val="76A22F2E"/>
    <w:rsid w:val="76B9224E"/>
    <w:rsid w:val="7B14377D"/>
    <w:rsid w:val="7B7C3943"/>
    <w:rsid w:val="7C4D019B"/>
    <w:rsid w:val="7DF650C7"/>
    <w:rsid w:val="7EB044D2"/>
    <w:rsid w:val="7ECA4A92"/>
    <w:rsid w:val="7F825496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nhideWhenUsed="0" w:uiPriority="0" w:semiHidden="0" w:name="Normal Indent"/>
    <w:lsdException w:uiPriority="99" w:name="footnote text"/>
    <w:lsdException w:qFormat="1" w:uiPriority="99" w:name="annotation text"/>
    <w:lsdException w:uiPriority="0" w:name="header"/>
    <w:lsdException w:uiPriority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qFormat="1" w:uiPriority="99" w:semiHidden="0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0" w:semiHidden="0" w:name="Default Paragraph Font"/>
    <w:lsdException w:qFormat="1" w:unhideWhenUsed="0" w:uiPriority="0" w:semiHidden="0" w:name="Body Text"/>
    <w:lsdException w:qFormat="1" w:uiPriority="99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qFormat="1" w:unhideWhenUsed="0" w:uiPriority="0" w:semiHidden="0" w:name="Body Text First Indent"/>
    <w:lsdException w:qFormat="1" w:unhideWhenUsed="0" w:uiPriority="0" w:semiHidden="0" w:name="Body Text First Indent 2"/>
    <w:lsdException w:uiPriority="99" w:name="Note Heading"/>
    <w:lsdException w:uiPriority="99" w:name="Body Text 2"/>
    <w:lsdException w:uiPriority="99" w:name="Body Text 3"/>
    <w:lsdException w:qFormat="1" w:unhideWhenUsed="0" w:uiPriority="0" w:semiHidden="0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iPriority="9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line="560" w:lineRule="exact"/>
      <w:ind w:firstLine="880" w:firstLineChars="200"/>
      <w:jc w:val="both"/>
    </w:pPr>
    <w:rPr>
      <w:rFonts w:ascii="仿宋_GB2312" w:hAnsi="仿宋_GB2312" w:eastAsia="仿宋_GB2312" w:cs="Times New Roman"/>
      <w:kern w:val="2"/>
      <w:sz w:val="32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9"/>
    <w:pPr>
      <w:keepNext/>
      <w:keepLines/>
      <w:spacing w:beforeLines="0" w:afterLines="0" w:line="560" w:lineRule="exact"/>
      <w:ind w:firstLine="629" w:firstLineChars="0"/>
      <w:outlineLvl w:val="0"/>
    </w:pPr>
    <w:rPr>
      <w:rFonts w:ascii="黑体" w:hAnsi="黑体" w:eastAsia="黑体"/>
      <w:bCs/>
      <w:kern w:val="44"/>
      <w:szCs w:val="44"/>
    </w:rPr>
  </w:style>
  <w:style w:type="paragraph" w:styleId="4">
    <w:name w:val="heading 2"/>
    <w:basedOn w:val="1"/>
    <w:next w:val="1"/>
    <w:unhideWhenUsed/>
    <w:qFormat/>
    <w:uiPriority w:val="9"/>
    <w:pPr>
      <w:keepNext/>
      <w:keepLines/>
      <w:spacing w:beforeLines="0" w:beforeAutospacing="0" w:afterLines="0" w:afterAutospacing="0" w:line="560" w:lineRule="exact"/>
      <w:ind w:firstLine="629" w:firstLineChars="0"/>
      <w:outlineLvl w:val="1"/>
    </w:pPr>
    <w:rPr>
      <w:rFonts w:ascii="楷体_GB2312" w:hAnsi="楷体_GB2312" w:eastAsia="楷体_GB2312"/>
    </w:rPr>
  </w:style>
  <w:style w:type="paragraph" w:styleId="5">
    <w:name w:val="heading 3"/>
    <w:basedOn w:val="1"/>
    <w:next w:val="1"/>
    <w:unhideWhenUsed/>
    <w:qFormat/>
    <w:uiPriority w:val="9"/>
    <w:pPr>
      <w:keepNext/>
      <w:keepLines/>
      <w:spacing w:beforeLines="0" w:beforeAutospacing="0" w:afterLines="0" w:afterAutospacing="0" w:line="560" w:lineRule="exact"/>
      <w:ind w:firstLine="629" w:firstLineChars="0"/>
      <w:outlineLvl w:val="2"/>
    </w:pPr>
  </w:style>
  <w:style w:type="character" w:default="1" w:styleId="16">
    <w:name w:val="Default Paragraph Font"/>
    <w:unhideWhenUsed/>
    <w:qFormat/>
    <w:uiPriority w:val="0"/>
  </w:style>
  <w:style w:type="table" w:default="1" w:styleId="14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next w:val="1"/>
    <w:qFormat/>
    <w:uiPriority w:val="0"/>
    <w:pPr>
      <w:widowControl/>
      <w:ind w:firstLine="420"/>
      <w:jc w:val="left"/>
    </w:pPr>
    <w:rPr>
      <w:sz w:val="30"/>
    </w:rPr>
  </w:style>
  <w:style w:type="paragraph" w:styleId="6">
    <w:name w:val="annotation text"/>
    <w:basedOn w:val="1"/>
    <w:semiHidden/>
    <w:unhideWhenUsed/>
    <w:qFormat/>
    <w:uiPriority w:val="99"/>
    <w:pPr>
      <w:jc w:val="left"/>
    </w:pPr>
  </w:style>
  <w:style w:type="paragraph" w:styleId="7">
    <w:name w:val="Body Text"/>
    <w:basedOn w:val="1"/>
    <w:next w:val="8"/>
    <w:qFormat/>
    <w:uiPriority w:val="0"/>
    <w:pPr>
      <w:spacing w:after="120"/>
    </w:pPr>
  </w:style>
  <w:style w:type="paragraph" w:styleId="8">
    <w:name w:val="Body Text First Indent 2"/>
    <w:basedOn w:val="9"/>
    <w:next w:val="11"/>
    <w:qFormat/>
    <w:uiPriority w:val="0"/>
    <w:pPr>
      <w:ind w:firstLine="420" w:firstLineChars="200"/>
    </w:pPr>
  </w:style>
  <w:style w:type="paragraph" w:styleId="9">
    <w:name w:val="Body Text Indent"/>
    <w:basedOn w:val="1"/>
    <w:next w:val="10"/>
    <w:unhideWhenUsed/>
    <w:qFormat/>
    <w:uiPriority w:val="99"/>
    <w:pPr>
      <w:spacing w:after="120" w:afterLines="0" w:afterAutospacing="0"/>
      <w:ind w:left="420" w:leftChars="200"/>
    </w:pPr>
    <w:rPr>
      <w:rFonts w:ascii="Calibri" w:hAnsi="Calibri" w:eastAsia="宋体" w:cs="Times New Roman"/>
      <w:sz w:val="21"/>
    </w:rPr>
  </w:style>
  <w:style w:type="paragraph" w:styleId="10">
    <w:name w:val="envelope return"/>
    <w:basedOn w:val="1"/>
    <w:unhideWhenUsed/>
    <w:qFormat/>
    <w:uiPriority w:val="99"/>
    <w:pPr>
      <w:snapToGrid w:val="0"/>
    </w:pPr>
    <w:rPr>
      <w:rFonts w:ascii="Arial" w:hAnsi="Arial"/>
    </w:rPr>
  </w:style>
  <w:style w:type="paragraph" w:styleId="11">
    <w:name w:val="Body Text First Indent"/>
    <w:basedOn w:val="7"/>
    <w:next w:val="7"/>
    <w:link w:val="20"/>
    <w:qFormat/>
    <w:uiPriority w:val="0"/>
    <w:pPr>
      <w:ind w:firstLine="420" w:firstLineChars="100"/>
    </w:pPr>
  </w:style>
  <w:style w:type="paragraph" w:styleId="12">
    <w:name w:val="Plain Text"/>
    <w:basedOn w:val="1"/>
    <w:next w:val="1"/>
    <w:qFormat/>
    <w:uiPriority w:val="0"/>
    <w:rPr>
      <w:rFonts w:ascii="宋体" w:hAnsi="Courier New" w:cs="Courier New"/>
      <w:snapToGrid w:val="0"/>
      <w:szCs w:val="21"/>
    </w:rPr>
  </w:style>
  <w:style w:type="paragraph" w:styleId="13">
    <w:name w:val="Body Text Indent 2"/>
    <w:basedOn w:val="1"/>
    <w:qFormat/>
    <w:uiPriority w:val="0"/>
    <w:pPr>
      <w:spacing w:after="120" w:line="480" w:lineRule="auto"/>
      <w:ind w:left="420" w:leftChars="200"/>
    </w:pPr>
  </w:style>
  <w:style w:type="table" w:styleId="15">
    <w:name w:val="Table Grid"/>
    <w:basedOn w:val="14"/>
    <w:semiHidden/>
    <w:unhideWhenUsed/>
    <w:qFormat/>
    <w:uiPriority w:val="9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17">
    <w:name w:val="大标题"/>
    <w:basedOn w:val="3"/>
    <w:qFormat/>
    <w:uiPriority w:val="0"/>
    <w:rPr>
      <w:rFonts w:eastAsia="黑体"/>
      <w:sz w:val="32"/>
    </w:rPr>
  </w:style>
  <w:style w:type="paragraph" w:customStyle="1" w:styleId="18">
    <w:name w:val="公文正文"/>
    <w:basedOn w:val="1"/>
    <w:qFormat/>
    <w:uiPriority w:val="0"/>
    <w:rPr>
      <w:rFonts w:eastAsia="华文仿宋"/>
      <w:sz w:val="30"/>
    </w:rPr>
  </w:style>
  <w:style w:type="paragraph" w:customStyle="1" w:styleId="19">
    <w:name w:val="列出段落1"/>
    <w:basedOn w:val="1"/>
    <w:qFormat/>
    <w:uiPriority w:val="0"/>
    <w:pPr>
      <w:widowControl/>
      <w:ind w:firstLine="420" w:firstLineChars="200"/>
      <w:jc w:val="left"/>
    </w:pPr>
    <w:rPr>
      <w:rFonts w:ascii="宋体" w:hAnsi="宋体" w:cs="宋体"/>
      <w:kern w:val="0"/>
      <w:sz w:val="24"/>
      <w:szCs w:val="24"/>
    </w:rPr>
  </w:style>
  <w:style w:type="character" w:customStyle="1" w:styleId="20">
    <w:name w:val="正文首行缩进 Char"/>
    <w:link w:val="11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Normal.wpt</Template>
  <Pages>2</Pages>
  <Words>0</Words>
  <Characters>0</Characters>
  <Lines>1</Lines>
  <Paragraphs>1</Paragraphs>
  <TotalTime>1</TotalTime>
  <ScaleCrop>false</ScaleCrop>
  <LinksUpToDate>false</LinksUpToDate>
  <CharactersWithSpaces>0</CharactersWithSpaces>
  <Application>WPS Office_11.8.2.12085_F1E327BC-269C-435d-A152-05C5408002CA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2008-12-26T08:45:00Z</dcterms:created>
  <dc:creator>Administrator</dc:creator>
  <cp:lastModifiedBy>曾理</cp:lastModifiedBy>
  <dcterms:modified xsi:type="dcterms:W3CDTF">2026-08-11T01:30:04Z</dcterms:modified>
  <dc:title>贵州银行2021年EMC带库原厂维保采购项目需求概要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2052-11.8.2.12085</vt:lpwstr>
  </property>
  <property fmtid="{D5CDD505-2E9C-101B-9397-08002B2CF9AE}" pid="3" name="ICV">
    <vt:lpwstr>9DA6005891D2456097887672833100DD</vt:lpwstr>
  </property>
</Properties>
</file>