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贵州银行数据处理服务采购项目（企业发票数据）需求概要说明书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项目名称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贵州银行数据处理服务采购项目（企业发票数据）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采购背景</w:t>
      </w:r>
      <w:bookmarkStart w:id="0" w:name="_GoBack"/>
      <w:bookmarkEnd w:id="0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为提升我行对小微企业经营真实性、持续性和还款能力的判断能力，增强风控模型的精准度，降低信贷风险。本项目所采购数据主要用于客户贷前申请环节，核验企业开票情况和交易对手情况，评估客户经营情况，识别客户经营风险，同时对客户的上下游交易对手择优开展营销；在贷后预警环节，对比放款前基准开票规模，波动超阈值后生成贷后预警信息，推送至小微贷后管理人员开展现场核查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采购期限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自合同签订起1年。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服务内容及要求</w:t>
      </w:r>
    </w:p>
    <w:p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采购内容</w:t>
      </w:r>
    </w:p>
    <w:tbl>
      <w:tblPr>
        <w:tblStyle w:val="13"/>
        <w:tblW w:w="505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1"/>
        <w:gridCol w:w="2994"/>
        <w:gridCol w:w="1712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95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78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数据出参</w:t>
            </w:r>
          </w:p>
        </w:tc>
        <w:tc>
          <w:tcPr>
            <w:tcW w:w="101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预估调用量（户）</w:t>
            </w:r>
          </w:p>
        </w:tc>
        <w:tc>
          <w:tcPr>
            <w:tcW w:w="124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952" w:type="pct"/>
            <w:vMerge w:val="restart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企业全量增值税进项、销项发票汇总统计数据查询</w:t>
            </w:r>
          </w:p>
        </w:tc>
        <w:tc>
          <w:tcPr>
            <w:tcW w:w="1780" w:type="pct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0"/>
                <w:szCs w:val="20"/>
                <w:vertAlign w:val="baseline"/>
                <w:lang w:val="en-US" w:eastAsia="zh-CN"/>
              </w:rPr>
              <w:t>销项/进项开票笔数和金额</w:t>
            </w:r>
          </w:p>
        </w:tc>
        <w:tc>
          <w:tcPr>
            <w:tcW w:w="1018" w:type="pct"/>
            <w:vMerge w:val="restart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  <w:tc>
          <w:tcPr>
            <w:tcW w:w="1248" w:type="pct"/>
            <w:vMerge w:val="restart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合同约定企业发票数据服务产品计费单位为单户，按实际调用户数计费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952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80" w:type="pct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0"/>
                <w:szCs w:val="20"/>
                <w:vertAlign w:val="baseline"/>
                <w:lang w:val="en-US" w:eastAsia="zh-CN"/>
              </w:rPr>
              <w:t>销项/进项开票金额同比增速</w:t>
            </w:r>
          </w:p>
        </w:tc>
        <w:tc>
          <w:tcPr>
            <w:tcW w:w="1018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8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952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80" w:type="pct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0"/>
                <w:szCs w:val="20"/>
                <w:vertAlign w:val="baseline"/>
                <w:lang w:val="en-US" w:eastAsia="zh-CN"/>
              </w:rPr>
              <w:t>作废/红字发票笔数、金额及占比</w:t>
            </w:r>
          </w:p>
        </w:tc>
        <w:tc>
          <w:tcPr>
            <w:tcW w:w="1018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8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952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80" w:type="pct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0"/>
                <w:szCs w:val="20"/>
                <w:vertAlign w:val="baseline"/>
                <w:lang w:val="en-US" w:eastAsia="zh-CN"/>
              </w:rPr>
              <w:t>销项/进项最大客户交易金额占比</w:t>
            </w:r>
          </w:p>
        </w:tc>
        <w:tc>
          <w:tcPr>
            <w:tcW w:w="1018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8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952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80" w:type="pct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0"/>
                <w:szCs w:val="20"/>
                <w:vertAlign w:val="baseline"/>
                <w:lang w:val="en-US" w:eastAsia="zh-CN"/>
              </w:rPr>
              <w:t>销项/进项前十大交易对手集中度</w:t>
            </w:r>
          </w:p>
        </w:tc>
        <w:tc>
          <w:tcPr>
            <w:tcW w:w="1018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8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952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80" w:type="pct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0"/>
                <w:szCs w:val="20"/>
                <w:vertAlign w:val="baseline"/>
                <w:lang w:val="en-US" w:eastAsia="zh-CN"/>
              </w:rPr>
              <w:t>销项/进项前十大交易对手名称</w:t>
            </w:r>
          </w:p>
        </w:tc>
        <w:tc>
          <w:tcPr>
            <w:tcW w:w="1018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8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952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80" w:type="pct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0"/>
                <w:szCs w:val="20"/>
                <w:vertAlign w:val="baseline"/>
                <w:lang w:val="en-US" w:eastAsia="zh-CN"/>
              </w:rPr>
              <w:t>销项/进项开票间隔最大天数</w:t>
            </w:r>
          </w:p>
        </w:tc>
        <w:tc>
          <w:tcPr>
            <w:tcW w:w="1018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8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952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80" w:type="pct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0"/>
                <w:szCs w:val="20"/>
                <w:vertAlign w:val="baseline"/>
                <w:lang w:val="en-US" w:eastAsia="zh-CN"/>
              </w:rPr>
              <w:t>非工作时间段开票占比</w:t>
            </w:r>
          </w:p>
        </w:tc>
        <w:tc>
          <w:tcPr>
            <w:tcW w:w="1018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8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  <w:jc w:val="center"/>
        </w:trPr>
        <w:tc>
          <w:tcPr>
            <w:tcW w:w="952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780" w:type="pct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0"/>
                <w:szCs w:val="20"/>
                <w:vertAlign w:val="baseline"/>
                <w:lang w:val="en-US" w:eastAsia="zh-CN"/>
              </w:rPr>
              <w:t>月度经营波动系数（统计周期内销项/进项开票金额÷销项/进项月均开票金额）</w:t>
            </w:r>
          </w:p>
        </w:tc>
        <w:tc>
          <w:tcPr>
            <w:tcW w:w="1018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8" w:type="pct"/>
            <w:vMerge w:val="continue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服务标准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b w:val="0"/>
          <w:bCs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1.应支持采用https协议进行数据交互。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2.API请求支持post/get等多种方式提交，API返回json字符串。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3.API返回的json编码格式为utf-8.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4.API接口响应时间不超过1秒。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5.服务提供方应提供固定域名或ip用以接收请求。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6.授权要求：数据供应商需要取得客户的完整授权。①取得客户数据采集侧授权说明②取得客户数据业务使用侧授权说明等保证数据真实性的佐证材料。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C2F11D4"/>
    <w:multiLevelType w:val="singleLevel"/>
    <w:tmpl w:val="AC2F11D4"/>
    <w:lvl w:ilvl="0" w:tentative="0">
      <w:start w:val="1"/>
      <w:numFmt w:val="decimal"/>
      <w:pStyle w:val="7"/>
      <w:lvlText w:val="%1.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  <w:b/>
        <w:bCs/>
        <w:sz w:val="32"/>
        <w:szCs w:val="32"/>
      </w:rPr>
    </w:lvl>
  </w:abstractNum>
  <w:abstractNum w:abstractNumId="1">
    <w:nsid w:val="DE68A846"/>
    <w:multiLevelType w:val="multilevel"/>
    <w:tmpl w:val="DE68A846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 w:ascii="宋体" w:hAnsi="宋体" w:eastAsia="黑体" w:cs="黑体"/>
        <w:sz w:val="32"/>
        <w:szCs w:val="32"/>
      </w:rPr>
    </w:lvl>
    <w:lvl w:ilvl="1" w:tentative="0">
      <w:start w:val="1"/>
      <w:numFmt w:val="chineseCounting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34EE3199"/>
    <w:multiLevelType w:val="multilevel"/>
    <w:tmpl w:val="34EE3199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11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3">
    <w:nsid w:val="4A8D8B17"/>
    <w:multiLevelType w:val="singleLevel"/>
    <w:tmpl w:val="4A8D8B17"/>
    <w:lvl w:ilvl="0" w:tentative="0">
      <w:start w:val="1"/>
      <w:numFmt w:val="decimal"/>
      <w:pStyle w:val="5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DC18FF"/>
    <w:rsid w:val="080F32C5"/>
    <w:rsid w:val="0A68544B"/>
    <w:rsid w:val="0D6734FB"/>
    <w:rsid w:val="0F676B6C"/>
    <w:rsid w:val="12BD7ECD"/>
    <w:rsid w:val="16A14BD3"/>
    <w:rsid w:val="1AC5115E"/>
    <w:rsid w:val="1AF02060"/>
    <w:rsid w:val="1D563E93"/>
    <w:rsid w:val="1E2279C9"/>
    <w:rsid w:val="1E9628E6"/>
    <w:rsid w:val="1F7C14F4"/>
    <w:rsid w:val="209C7719"/>
    <w:rsid w:val="20CF706D"/>
    <w:rsid w:val="20DE0ADF"/>
    <w:rsid w:val="210868C4"/>
    <w:rsid w:val="21245207"/>
    <w:rsid w:val="226E7B8A"/>
    <w:rsid w:val="22C7376A"/>
    <w:rsid w:val="23AD12FA"/>
    <w:rsid w:val="247842C5"/>
    <w:rsid w:val="29AC5A59"/>
    <w:rsid w:val="30722715"/>
    <w:rsid w:val="31065142"/>
    <w:rsid w:val="34C42032"/>
    <w:rsid w:val="36343009"/>
    <w:rsid w:val="36C36482"/>
    <w:rsid w:val="38831313"/>
    <w:rsid w:val="399E73E9"/>
    <w:rsid w:val="3D110B8F"/>
    <w:rsid w:val="3D314F56"/>
    <w:rsid w:val="3E3D71A0"/>
    <w:rsid w:val="3E494D0F"/>
    <w:rsid w:val="3FF84A7C"/>
    <w:rsid w:val="40A23820"/>
    <w:rsid w:val="431437B8"/>
    <w:rsid w:val="444E3C75"/>
    <w:rsid w:val="4533381D"/>
    <w:rsid w:val="4DA7130C"/>
    <w:rsid w:val="4EC635C0"/>
    <w:rsid w:val="51CF27C3"/>
    <w:rsid w:val="51FF6FC1"/>
    <w:rsid w:val="5A6303FB"/>
    <w:rsid w:val="5BAF3077"/>
    <w:rsid w:val="5C3F74E6"/>
    <w:rsid w:val="5ED96090"/>
    <w:rsid w:val="5FF71869"/>
    <w:rsid w:val="619F71DA"/>
    <w:rsid w:val="67805417"/>
    <w:rsid w:val="6C525CA4"/>
    <w:rsid w:val="6F1031A3"/>
    <w:rsid w:val="6F4F013D"/>
    <w:rsid w:val="6FE518E0"/>
    <w:rsid w:val="6FF83480"/>
    <w:rsid w:val="703A036A"/>
    <w:rsid w:val="711C01FF"/>
    <w:rsid w:val="719957FE"/>
    <w:rsid w:val="764473FE"/>
    <w:rsid w:val="786D0A69"/>
    <w:rsid w:val="7BBD23E8"/>
    <w:rsid w:val="7C316703"/>
    <w:rsid w:val="7E062BD7"/>
    <w:rsid w:val="7EA1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880" w:firstLineChars="20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wordWrap w:val="0"/>
      <w:autoSpaceDE w:val="0"/>
      <w:autoSpaceDN w:val="0"/>
      <w:snapToGrid w:val="0"/>
      <w:spacing w:line="560" w:lineRule="exact"/>
      <w:ind w:left="0" w:firstLine="880" w:firstLineChars="200"/>
      <w:jc w:val="left"/>
      <w:outlineLvl w:val="0"/>
    </w:pPr>
    <w:rPr>
      <w:rFonts w:ascii="黑体" w:hAnsi="黑体" w:eastAsia="黑体"/>
      <w:kern w:val="44"/>
    </w:rPr>
  </w:style>
  <w:style w:type="paragraph" w:styleId="4">
    <w:name w:val="heading 2"/>
    <w:basedOn w:val="1"/>
    <w:next w:val="1"/>
    <w:unhideWhenUsed/>
    <w:qFormat/>
    <w:uiPriority w:val="0"/>
    <w:pPr>
      <w:keepLines/>
      <w:numPr>
        <w:ilvl w:val="1"/>
        <w:numId w:val="1"/>
      </w:numPr>
      <w:tabs>
        <w:tab w:val="left" w:pos="0"/>
      </w:tabs>
      <w:spacing w:line="360" w:lineRule="auto"/>
      <w:ind w:left="0" w:firstLine="640" w:firstLineChars="200"/>
      <w:jc w:val="left"/>
      <w:outlineLvl w:val="1"/>
    </w:pPr>
    <w:rPr>
      <w:rFonts w:ascii="黑体" w:hAnsi="黑体" w:eastAsia="楷体_GB2312"/>
      <w:kern w:val="0"/>
      <w:sz w:val="32"/>
    </w:rPr>
  </w:style>
  <w:style w:type="paragraph" w:styleId="5">
    <w:name w:val="heading 3"/>
    <w:basedOn w:val="1"/>
    <w:next w:val="1"/>
    <w:unhideWhenUsed/>
    <w:qFormat/>
    <w:uiPriority w:val="0"/>
    <w:pPr>
      <w:numPr>
        <w:ilvl w:val="0"/>
        <w:numId w:val="2"/>
      </w:numPr>
      <w:tabs>
        <w:tab w:val="left" w:pos="432"/>
        <w:tab w:val="left" w:pos="567"/>
      </w:tabs>
      <w:spacing w:line="360" w:lineRule="auto"/>
      <w:ind w:left="0" w:firstLine="640" w:firstLineChars="200"/>
      <w:outlineLvl w:val="2"/>
    </w:pPr>
    <w:rPr>
      <w:rFonts w:ascii="楷体_GB2312" w:hAnsi="楷体_GB2312"/>
      <w:b/>
      <w:sz w:val="32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numPr>
        <w:ilvl w:val="3"/>
        <w:numId w:val="3"/>
      </w:numPr>
      <w:spacing w:beforeLines="0" w:beforeAutospacing="0" w:afterLines="0" w:afterAutospacing="0" w:line="240" w:lineRule="auto"/>
      <w:ind w:left="0" w:firstLine="402"/>
      <w:jc w:val="left"/>
      <w:outlineLvl w:val="3"/>
    </w:pPr>
    <w:rPr>
      <w:rFonts w:ascii="Arial" w:hAnsi="Arial" w:eastAsia="仿宋_GB2312"/>
      <w:sz w:val="32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0"/>
        <w:numId w:val="4"/>
      </w:numPr>
      <w:spacing w:beforeLines="0" w:beforeAutospacing="0" w:afterLines="0" w:afterAutospacing="0" w:line="240" w:lineRule="auto"/>
      <w:ind w:left="0" w:firstLine="641"/>
      <w:jc w:val="left"/>
      <w:outlineLvl w:val="4"/>
    </w:pPr>
    <w:rPr>
      <w:rFonts w:eastAsia="仿宋_GB2312" w:asciiTheme="minorAscii" w:hAnsiTheme="minorAscii"/>
      <w:b/>
      <w:sz w:val="32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3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3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3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3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5"/>
    <w:qFormat/>
    <w:uiPriority w:val="0"/>
    <w:pPr>
      <w:spacing w:after="120" w:afterLines="0"/>
    </w:pPr>
    <w:rPr>
      <w:rFonts w:ascii="仿宋_GB2312" w:hAnsi="仿宋_GB2312" w:eastAsia="仿宋_GB2312"/>
      <w:kern w:val="0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正文文本 Char"/>
    <w:link w:val="2"/>
    <w:qFormat/>
    <w:uiPriority w:val="99"/>
    <w:rPr>
      <w:rFonts w:ascii="仿宋_GB2312" w:hAnsi="仿宋_GB2312" w:eastAsia="仿宋_GB2312"/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2026-09-17T01:09:00Z</dcterms:created>
  <dc:creator>Administrator</dc:creator>
  <cp:lastModifiedBy>Administrator</cp:lastModifiedBy>
  <dcterms:modified xsi:type="dcterms:W3CDTF">2026-09-28T02:32:05Z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