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02" w:rsidRDefault="001014D6">
      <w:pPr>
        <w:widowControl/>
        <w:spacing w:line="560" w:lineRule="exact"/>
        <w:jc w:val="center"/>
        <w:rPr>
          <w:rFonts w:ascii="方正小标宋简体" w:eastAsia="方正小标宋简体" w:hAnsi="方正小标宋简体" w:cs="方正小标宋简体"/>
          <w:bCs/>
          <w:sz w:val="44"/>
          <w:szCs w:val="44"/>
        </w:rPr>
      </w:pPr>
      <w:bookmarkStart w:id="0" w:name="_bookmark0"/>
      <w:bookmarkEnd w:id="0"/>
      <w:r>
        <w:rPr>
          <w:rFonts w:ascii="方正小标宋简体" w:eastAsia="方正小标宋简体" w:hAnsi="方正小标宋简体" w:cs="方正小标宋简体" w:hint="eastAsia"/>
          <w:bCs/>
          <w:sz w:val="44"/>
          <w:szCs w:val="44"/>
        </w:rPr>
        <w:t>贵州银行</w:t>
      </w:r>
      <w:r>
        <w:rPr>
          <w:rFonts w:ascii="方正小标宋简体" w:eastAsia="方正小标宋简体" w:hAnsi="方正小标宋简体" w:cs="方正小标宋简体" w:hint="eastAsia"/>
          <w:bCs/>
          <w:sz w:val="44"/>
          <w:szCs w:val="44"/>
          <w:lang w:val="en-US"/>
        </w:rPr>
        <w:t>2019年理财产品半年报告</w:t>
      </w:r>
    </w:p>
    <w:p w:rsidR="001E4202" w:rsidRDefault="001E4202">
      <w:pPr>
        <w:widowControl/>
        <w:spacing w:line="560" w:lineRule="exact"/>
        <w:rPr>
          <w:bCs/>
          <w:sz w:val="32"/>
          <w:szCs w:val="32"/>
        </w:rPr>
      </w:pPr>
    </w:p>
    <w:p w:rsidR="001E4202" w:rsidRDefault="001014D6">
      <w:pPr>
        <w:widowControl/>
        <w:spacing w:line="560" w:lineRule="exact"/>
        <w:ind w:firstLineChars="200" w:firstLine="640"/>
        <w:rPr>
          <w:bCs/>
          <w:sz w:val="32"/>
          <w:szCs w:val="32"/>
        </w:rPr>
      </w:pPr>
      <w:r>
        <w:rPr>
          <w:rFonts w:ascii="Times New Roman" w:hAnsi="Times New Roman" w:cs="Times New Roman" w:hint="eastAsia"/>
          <w:bCs/>
          <w:sz w:val="32"/>
          <w:szCs w:val="32"/>
          <w:lang w:val="en-US"/>
        </w:rPr>
        <w:t>截止</w:t>
      </w:r>
      <w:r>
        <w:rPr>
          <w:rFonts w:ascii="Times New Roman" w:hAnsi="Times New Roman" w:cs="Times New Roman" w:hint="eastAsia"/>
          <w:bCs/>
          <w:sz w:val="32"/>
          <w:szCs w:val="32"/>
          <w:lang w:val="en-US"/>
        </w:rPr>
        <w:t>2019</w:t>
      </w:r>
      <w:r>
        <w:rPr>
          <w:rFonts w:ascii="Times New Roman" w:hAnsi="Times New Roman" w:cs="Times New Roman" w:hint="eastAsia"/>
          <w:bCs/>
          <w:sz w:val="32"/>
          <w:szCs w:val="32"/>
          <w:lang w:val="en-US"/>
        </w:rPr>
        <w:t>年</w:t>
      </w:r>
      <w:r>
        <w:rPr>
          <w:rFonts w:ascii="Times New Roman" w:hAnsi="Times New Roman" w:cs="Times New Roman" w:hint="eastAsia"/>
          <w:bCs/>
          <w:sz w:val="32"/>
          <w:szCs w:val="32"/>
          <w:lang w:val="en-US"/>
        </w:rPr>
        <w:t>6</w:t>
      </w:r>
      <w:r>
        <w:rPr>
          <w:rFonts w:ascii="Times New Roman" w:hAnsi="Times New Roman" w:cs="Times New Roman" w:hint="eastAsia"/>
          <w:bCs/>
          <w:sz w:val="32"/>
          <w:szCs w:val="32"/>
          <w:lang w:val="en-US"/>
        </w:rPr>
        <w:t>月</w:t>
      </w:r>
      <w:r>
        <w:rPr>
          <w:rFonts w:ascii="Times New Roman" w:hAnsi="Times New Roman" w:cs="Times New Roman" w:hint="eastAsia"/>
          <w:bCs/>
          <w:sz w:val="32"/>
          <w:szCs w:val="32"/>
          <w:lang w:val="en-US"/>
        </w:rPr>
        <w:t>30</w:t>
      </w:r>
      <w:r>
        <w:rPr>
          <w:rFonts w:ascii="Times New Roman" w:hAnsi="Times New Roman" w:cs="Times New Roman" w:hint="eastAsia"/>
          <w:bCs/>
          <w:sz w:val="32"/>
          <w:szCs w:val="32"/>
          <w:lang w:val="en-US"/>
        </w:rPr>
        <w:t>日，我行</w:t>
      </w:r>
      <w:r>
        <w:rPr>
          <w:rFonts w:ascii="Times New Roman" w:hAnsi="Times New Roman" w:cs="Times New Roman" w:hint="eastAsia"/>
          <w:bCs/>
          <w:sz w:val="32"/>
          <w:szCs w:val="32"/>
          <w:lang w:val="en-US"/>
        </w:rPr>
        <w:t>2019</w:t>
      </w:r>
      <w:r>
        <w:rPr>
          <w:rFonts w:ascii="Times New Roman" w:hAnsi="Times New Roman" w:cs="Times New Roman" w:hint="eastAsia"/>
          <w:bCs/>
          <w:sz w:val="32"/>
          <w:szCs w:val="32"/>
          <w:lang w:val="en-US"/>
        </w:rPr>
        <w:t>年上半年理财业务整体平稳运行。</w:t>
      </w:r>
      <w:r>
        <w:rPr>
          <w:rFonts w:hint="eastAsia"/>
          <w:bCs/>
          <w:sz w:val="32"/>
          <w:szCs w:val="32"/>
        </w:rPr>
        <w:t>运行情况公告如下：</w:t>
      </w:r>
    </w:p>
    <w:p w:rsidR="001E4202" w:rsidRDefault="001014D6">
      <w:pPr>
        <w:widowControl/>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理财产品发行情况</w:t>
      </w:r>
    </w:p>
    <w:p w:rsidR="001E4202" w:rsidRDefault="001014D6">
      <w:pPr>
        <w:widowControl/>
        <w:spacing w:line="560" w:lineRule="exact"/>
        <w:ind w:firstLineChars="200" w:firstLine="640"/>
        <w:rPr>
          <w:rFonts w:ascii="Times New Roman" w:hAnsi="Times New Roman" w:cs="Times New Roman"/>
          <w:bCs/>
          <w:sz w:val="32"/>
          <w:szCs w:val="32"/>
          <w:lang w:val="en-US"/>
        </w:rPr>
      </w:pPr>
      <w:r>
        <w:rPr>
          <w:rFonts w:ascii="Times New Roman" w:hAnsi="Times New Roman" w:cs="Times New Roman" w:hint="eastAsia"/>
          <w:bCs/>
          <w:sz w:val="32"/>
          <w:szCs w:val="32"/>
          <w:lang w:val="en-US"/>
        </w:rPr>
        <w:t>2019</w:t>
      </w:r>
      <w:r>
        <w:rPr>
          <w:rFonts w:ascii="Times New Roman" w:hAnsi="Times New Roman" w:cs="Times New Roman" w:hint="eastAsia"/>
          <w:bCs/>
          <w:sz w:val="32"/>
          <w:szCs w:val="32"/>
          <w:lang w:val="en-US"/>
        </w:rPr>
        <w:t>年上半年</w:t>
      </w:r>
      <w:r>
        <w:rPr>
          <w:rFonts w:hint="eastAsia"/>
          <w:bCs/>
          <w:sz w:val="32"/>
          <w:szCs w:val="32"/>
        </w:rPr>
        <w:t>，</w:t>
      </w:r>
      <w:r>
        <w:rPr>
          <w:rFonts w:ascii="Times New Roman" w:hAnsi="Times New Roman" w:cs="Times New Roman" w:hint="eastAsia"/>
          <w:bCs/>
          <w:sz w:val="32"/>
          <w:szCs w:val="32"/>
          <w:lang w:val="en-US"/>
        </w:rPr>
        <w:t>共</w:t>
      </w:r>
      <w:r>
        <w:rPr>
          <w:rFonts w:hint="eastAsia"/>
          <w:bCs/>
          <w:sz w:val="32"/>
          <w:szCs w:val="32"/>
        </w:rPr>
        <w:t>发行</w:t>
      </w:r>
      <w:r>
        <w:rPr>
          <w:rFonts w:ascii="Times New Roman" w:hAnsi="Times New Roman" w:cs="Times New Roman" w:hint="eastAsia"/>
          <w:bCs/>
          <w:sz w:val="32"/>
          <w:szCs w:val="32"/>
          <w:lang w:val="en-US"/>
        </w:rPr>
        <w:t>理财产品</w:t>
      </w:r>
      <w:r>
        <w:rPr>
          <w:rFonts w:ascii="Times New Roman" w:hAnsi="Times New Roman" w:cs="Times New Roman" w:hint="eastAsia"/>
          <w:bCs/>
          <w:sz w:val="32"/>
          <w:szCs w:val="32"/>
          <w:lang w:val="en-US"/>
        </w:rPr>
        <w:t>84</w:t>
      </w:r>
      <w:r>
        <w:rPr>
          <w:rFonts w:ascii="Times New Roman" w:hAnsi="Times New Roman" w:cs="Times New Roman" w:hint="eastAsia"/>
          <w:bCs/>
          <w:sz w:val="32"/>
          <w:szCs w:val="32"/>
          <w:lang w:val="en-US"/>
        </w:rPr>
        <w:t>期，募集理财资金</w:t>
      </w:r>
      <w:r>
        <w:rPr>
          <w:rFonts w:ascii="Times New Roman" w:hAnsi="Times New Roman" w:cs="Times New Roman" w:hint="eastAsia"/>
          <w:bCs/>
          <w:sz w:val="32"/>
          <w:szCs w:val="32"/>
          <w:lang w:val="en-US"/>
        </w:rPr>
        <w:t>943,114</w:t>
      </w:r>
      <w:r>
        <w:rPr>
          <w:rFonts w:ascii="Times New Roman" w:hAnsi="Times New Roman" w:cs="Times New Roman"/>
          <w:bCs/>
          <w:sz w:val="32"/>
          <w:szCs w:val="32"/>
          <w:lang w:val="en-US"/>
        </w:rPr>
        <w:t>万</w:t>
      </w:r>
      <w:r>
        <w:rPr>
          <w:rFonts w:ascii="Times New Roman" w:hAnsi="Times New Roman" w:cs="Times New Roman" w:hint="eastAsia"/>
          <w:bCs/>
          <w:sz w:val="32"/>
          <w:szCs w:val="32"/>
          <w:lang w:val="en-US"/>
        </w:rPr>
        <w:t>元，加权平均期限</w:t>
      </w:r>
      <w:r>
        <w:rPr>
          <w:rFonts w:ascii="Times New Roman" w:hAnsi="Times New Roman" w:cs="Times New Roman" w:hint="eastAsia"/>
          <w:bCs/>
          <w:sz w:val="32"/>
          <w:szCs w:val="32"/>
          <w:lang w:val="en-US"/>
        </w:rPr>
        <w:t>164</w:t>
      </w:r>
      <w:r>
        <w:rPr>
          <w:rFonts w:ascii="Times New Roman" w:hAnsi="Times New Roman" w:cs="Times New Roman" w:hint="eastAsia"/>
          <w:bCs/>
          <w:sz w:val="32"/>
          <w:szCs w:val="32"/>
          <w:lang w:val="en-US"/>
        </w:rPr>
        <w:t>天，客户加权平均业绩基准</w:t>
      </w:r>
      <w:r>
        <w:rPr>
          <w:rFonts w:ascii="Times New Roman" w:hAnsi="Times New Roman" w:cs="Times New Roman" w:hint="eastAsia"/>
          <w:bCs/>
          <w:sz w:val="32"/>
          <w:szCs w:val="32"/>
          <w:lang w:val="en-US"/>
        </w:rPr>
        <w:t>4.74%</w:t>
      </w:r>
      <w:r>
        <w:rPr>
          <w:rFonts w:ascii="Times New Roman" w:hAnsi="Times New Roman" w:cs="Times New Roman" w:hint="eastAsia"/>
          <w:bCs/>
          <w:sz w:val="32"/>
          <w:szCs w:val="32"/>
          <w:lang w:val="en-US"/>
        </w:rPr>
        <w:t>。</w:t>
      </w:r>
    </w:p>
    <w:p w:rsidR="001E4202" w:rsidRDefault="001014D6">
      <w:pPr>
        <w:pStyle w:val="a6"/>
        <w:widowControl/>
        <w:numPr>
          <w:ilvl w:val="0"/>
          <w:numId w:val="2"/>
        </w:numPr>
        <w:shd w:val="clear" w:color="auto" w:fill="FFFFFF"/>
        <w:spacing w:beforeAutospacing="0" w:afterAutospacing="0" w:line="560" w:lineRule="exact"/>
        <w:ind w:leftChars="200" w:left="440"/>
        <w:jc w:val="both"/>
        <w:rPr>
          <w:rFonts w:ascii="Times New Roman" w:eastAsia="楷体" w:hAnsi="Times New Roman"/>
          <w:color w:val="333333"/>
          <w:spacing w:val="8"/>
          <w:sz w:val="32"/>
          <w:szCs w:val="32"/>
          <w:shd w:val="clear" w:color="auto" w:fill="FFFFFF"/>
          <w:lang w:val="en-US"/>
        </w:rPr>
      </w:pPr>
      <w:r>
        <w:rPr>
          <w:rFonts w:ascii="Times New Roman" w:eastAsia="楷体" w:hAnsi="Times New Roman" w:hint="eastAsia"/>
          <w:color w:val="333333"/>
          <w:spacing w:val="8"/>
          <w:sz w:val="32"/>
          <w:szCs w:val="32"/>
          <w:shd w:val="clear" w:color="auto" w:fill="FFFFFF"/>
          <w:lang w:val="en-US"/>
        </w:rPr>
        <w:t>按期限分</w:t>
      </w:r>
    </w:p>
    <w:p w:rsidR="001E4202" w:rsidRDefault="001014D6">
      <w:pPr>
        <w:widowControl/>
        <w:spacing w:line="560" w:lineRule="exact"/>
        <w:ind w:firstLineChars="200" w:firstLine="640"/>
        <w:rPr>
          <w:rFonts w:ascii="Times New Roman" w:hAnsi="Times New Roman" w:cs="Times New Roman"/>
          <w:bCs/>
          <w:sz w:val="32"/>
          <w:szCs w:val="32"/>
          <w:lang w:val="en-US"/>
        </w:rPr>
      </w:pPr>
      <w:r>
        <w:rPr>
          <w:rFonts w:ascii="Times New Roman" w:hAnsi="Times New Roman" w:cs="Times New Roman" w:hint="eastAsia"/>
          <w:bCs/>
          <w:sz w:val="32"/>
          <w:szCs w:val="32"/>
          <w:lang w:val="en-US"/>
        </w:rPr>
        <w:t>根据客户需求，我行理财产品以短期限为主，最长期限</w:t>
      </w:r>
      <w:r>
        <w:rPr>
          <w:rFonts w:ascii="Times New Roman" w:hAnsi="Times New Roman" w:cs="Times New Roman" w:hint="eastAsia"/>
          <w:bCs/>
          <w:sz w:val="32"/>
          <w:szCs w:val="32"/>
          <w:lang w:val="en-US"/>
        </w:rPr>
        <w:t>365</w:t>
      </w:r>
      <w:r>
        <w:rPr>
          <w:rFonts w:ascii="Times New Roman" w:hAnsi="Times New Roman" w:cs="Times New Roman" w:hint="eastAsia"/>
          <w:bCs/>
          <w:sz w:val="32"/>
          <w:szCs w:val="32"/>
          <w:lang w:val="en-US"/>
        </w:rPr>
        <w:t>天，详见下表：</w:t>
      </w:r>
    </w:p>
    <w:p w:rsidR="001E4202" w:rsidRDefault="001014D6">
      <w:pPr>
        <w:widowControl/>
        <w:spacing w:line="0" w:lineRule="atLeast"/>
        <w:rPr>
          <w:rFonts w:ascii="Times New Roman" w:hAnsi="Times New Roman" w:cs="Times New Roman"/>
          <w:bCs/>
          <w:sz w:val="24"/>
          <w:szCs w:val="24"/>
          <w:lang w:val="en-US"/>
        </w:rPr>
      </w:pPr>
      <w:r>
        <w:rPr>
          <w:rFonts w:ascii="Times New Roman" w:hAnsi="Times New Roman" w:cs="Times New Roman" w:hint="eastAsia"/>
          <w:bCs/>
          <w:sz w:val="24"/>
          <w:szCs w:val="24"/>
          <w:lang w:val="en-US"/>
        </w:rPr>
        <w:t xml:space="preserve">                                                                                                                     </w:t>
      </w:r>
      <w:r>
        <w:rPr>
          <w:rFonts w:ascii="Times New Roman" w:hAnsi="Times New Roman" w:cs="Times New Roman" w:hint="eastAsia"/>
          <w:bCs/>
          <w:sz w:val="24"/>
          <w:szCs w:val="24"/>
          <w:lang w:val="en-US"/>
        </w:rPr>
        <w:t>单位：万元</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4"/>
        <w:gridCol w:w="1500"/>
        <w:gridCol w:w="2117"/>
        <w:gridCol w:w="2127"/>
        <w:gridCol w:w="2126"/>
      </w:tblGrid>
      <w:tr w:rsidR="00C822CD" w:rsidTr="00C822CD">
        <w:tc>
          <w:tcPr>
            <w:tcW w:w="2424" w:type="dxa"/>
            <w:gridSpan w:val="2"/>
            <w:vAlign w:val="center"/>
          </w:tcPr>
          <w:p w:rsidR="00C822CD" w:rsidRDefault="00C822CD">
            <w:pPr>
              <w:jc w:val="center"/>
              <w:rPr>
                <w:sz w:val="24"/>
                <w:szCs w:val="24"/>
              </w:rPr>
            </w:pPr>
          </w:p>
        </w:tc>
        <w:tc>
          <w:tcPr>
            <w:tcW w:w="2117" w:type="dxa"/>
            <w:vAlign w:val="center"/>
          </w:tcPr>
          <w:p w:rsidR="00C822CD" w:rsidRDefault="00C822CD">
            <w:pPr>
              <w:jc w:val="center"/>
              <w:rPr>
                <w:rFonts w:eastAsia="宋体"/>
                <w:b/>
                <w:bCs/>
                <w:sz w:val="24"/>
                <w:szCs w:val="24"/>
                <w:lang w:val="en-US"/>
              </w:rPr>
            </w:pPr>
            <w:r>
              <w:rPr>
                <w:rFonts w:hint="eastAsia"/>
                <w:b/>
                <w:bCs/>
                <w:sz w:val="24"/>
                <w:szCs w:val="24"/>
                <w:lang w:val="en-US"/>
              </w:rPr>
              <w:t>91-180天（含）</w:t>
            </w:r>
          </w:p>
        </w:tc>
        <w:tc>
          <w:tcPr>
            <w:tcW w:w="2127" w:type="dxa"/>
            <w:vAlign w:val="center"/>
          </w:tcPr>
          <w:p w:rsidR="00C822CD" w:rsidRDefault="00C822CD">
            <w:pPr>
              <w:jc w:val="center"/>
              <w:rPr>
                <w:rFonts w:eastAsia="宋体"/>
                <w:b/>
                <w:bCs/>
                <w:sz w:val="24"/>
                <w:szCs w:val="24"/>
                <w:lang w:val="en-US"/>
              </w:rPr>
            </w:pPr>
            <w:r>
              <w:rPr>
                <w:rFonts w:hint="eastAsia"/>
                <w:b/>
                <w:bCs/>
                <w:sz w:val="24"/>
                <w:szCs w:val="24"/>
                <w:lang w:val="en-US"/>
              </w:rPr>
              <w:t>181-365天（含）</w:t>
            </w:r>
          </w:p>
        </w:tc>
        <w:tc>
          <w:tcPr>
            <w:tcW w:w="2126" w:type="dxa"/>
            <w:vAlign w:val="center"/>
          </w:tcPr>
          <w:p w:rsidR="00C822CD" w:rsidRDefault="00C822CD">
            <w:pPr>
              <w:jc w:val="center"/>
              <w:rPr>
                <w:b/>
                <w:bCs/>
                <w:sz w:val="24"/>
                <w:szCs w:val="24"/>
              </w:rPr>
            </w:pPr>
            <w:r>
              <w:rPr>
                <w:rFonts w:hint="eastAsia"/>
                <w:b/>
                <w:bCs/>
                <w:sz w:val="24"/>
                <w:szCs w:val="24"/>
              </w:rPr>
              <w:t>合计</w:t>
            </w:r>
          </w:p>
        </w:tc>
      </w:tr>
      <w:tr w:rsidR="00C822CD" w:rsidTr="00C822CD">
        <w:tc>
          <w:tcPr>
            <w:tcW w:w="924" w:type="dxa"/>
            <w:vMerge w:val="restart"/>
            <w:vAlign w:val="center"/>
          </w:tcPr>
          <w:p w:rsidR="00C822CD" w:rsidRDefault="00C822CD">
            <w:pPr>
              <w:jc w:val="center"/>
              <w:rPr>
                <w:rFonts w:eastAsia="宋体"/>
                <w:b/>
                <w:bCs/>
                <w:sz w:val="24"/>
                <w:szCs w:val="24"/>
                <w:lang w:val="en-US"/>
              </w:rPr>
            </w:pPr>
            <w:r>
              <w:rPr>
                <w:rFonts w:eastAsia="宋体" w:hint="eastAsia"/>
                <w:b/>
                <w:bCs/>
                <w:sz w:val="24"/>
                <w:szCs w:val="24"/>
                <w:lang w:val="en-US"/>
              </w:rPr>
              <w:t>2019</w:t>
            </w:r>
            <w:r>
              <w:rPr>
                <w:rFonts w:eastAsia="宋体" w:hint="eastAsia"/>
                <w:b/>
                <w:bCs/>
                <w:sz w:val="24"/>
                <w:szCs w:val="24"/>
                <w:lang w:val="en-US"/>
              </w:rPr>
              <w:t>年上半年</w:t>
            </w:r>
          </w:p>
        </w:tc>
        <w:tc>
          <w:tcPr>
            <w:tcW w:w="1500" w:type="dxa"/>
            <w:vAlign w:val="center"/>
          </w:tcPr>
          <w:p w:rsidR="00C822CD" w:rsidRDefault="00C822CD">
            <w:pPr>
              <w:jc w:val="center"/>
              <w:rPr>
                <w:rFonts w:eastAsia="宋体"/>
                <w:sz w:val="24"/>
                <w:szCs w:val="24"/>
              </w:rPr>
            </w:pPr>
            <w:r>
              <w:rPr>
                <w:rFonts w:hint="eastAsia"/>
                <w:sz w:val="24"/>
                <w:szCs w:val="24"/>
              </w:rPr>
              <w:t>期数</w:t>
            </w:r>
          </w:p>
        </w:tc>
        <w:tc>
          <w:tcPr>
            <w:tcW w:w="2117" w:type="dxa"/>
            <w:vAlign w:val="center"/>
          </w:tcPr>
          <w:p w:rsidR="00C822CD" w:rsidRDefault="00C822CD">
            <w:pPr>
              <w:jc w:val="center"/>
              <w:rPr>
                <w:sz w:val="24"/>
                <w:szCs w:val="24"/>
                <w:lang w:val="en-US"/>
              </w:rPr>
            </w:pPr>
            <w:r>
              <w:rPr>
                <w:rFonts w:hint="eastAsia"/>
                <w:sz w:val="24"/>
                <w:szCs w:val="24"/>
                <w:lang w:val="en-US"/>
              </w:rPr>
              <w:t>61</w:t>
            </w:r>
          </w:p>
        </w:tc>
        <w:tc>
          <w:tcPr>
            <w:tcW w:w="2127" w:type="dxa"/>
            <w:vAlign w:val="center"/>
          </w:tcPr>
          <w:p w:rsidR="00C822CD" w:rsidRDefault="00C822CD">
            <w:pPr>
              <w:jc w:val="center"/>
              <w:rPr>
                <w:sz w:val="24"/>
                <w:szCs w:val="24"/>
                <w:lang w:val="en-US"/>
              </w:rPr>
            </w:pPr>
            <w:r>
              <w:rPr>
                <w:rFonts w:hint="eastAsia"/>
                <w:sz w:val="24"/>
                <w:szCs w:val="24"/>
                <w:lang w:val="en-US"/>
              </w:rPr>
              <w:t>23</w:t>
            </w:r>
          </w:p>
        </w:tc>
        <w:tc>
          <w:tcPr>
            <w:tcW w:w="2126" w:type="dxa"/>
            <w:vAlign w:val="center"/>
          </w:tcPr>
          <w:p w:rsidR="00C822CD" w:rsidRDefault="00C822CD">
            <w:pPr>
              <w:jc w:val="center"/>
              <w:rPr>
                <w:sz w:val="24"/>
                <w:szCs w:val="24"/>
                <w:lang w:val="en-US"/>
              </w:rPr>
            </w:pPr>
            <w:r>
              <w:rPr>
                <w:rFonts w:hint="eastAsia"/>
                <w:sz w:val="24"/>
                <w:szCs w:val="24"/>
                <w:lang w:val="en-US"/>
              </w:rPr>
              <w:t>84</w:t>
            </w:r>
          </w:p>
        </w:tc>
      </w:tr>
      <w:tr w:rsidR="00C822CD" w:rsidTr="00C822CD">
        <w:tc>
          <w:tcPr>
            <w:tcW w:w="924" w:type="dxa"/>
            <w:vMerge/>
            <w:vAlign w:val="center"/>
          </w:tcPr>
          <w:p w:rsidR="00C822CD" w:rsidRDefault="00C822CD">
            <w:pPr>
              <w:jc w:val="center"/>
              <w:rPr>
                <w:b/>
                <w:bCs/>
                <w:sz w:val="24"/>
                <w:szCs w:val="24"/>
              </w:rPr>
            </w:pPr>
          </w:p>
        </w:tc>
        <w:tc>
          <w:tcPr>
            <w:tcW w:w="1500" w:type="dxa"/>
            <w:vAlign w:val="center"/>
          </w:tcPr>
          <w:p w:rsidR="00C822CD" w:rsidRDefault="00C822CD">
            <w:pPr>
              <w:jc w:val="center"/>
              <w:rPr>
                <w:rFonts w:eastAsia="宋体"/>
                <w:sz w:val="24"/>
                <w:szCs w:val="24"/>
              </w:rPr>
            </w:pPr>
            <w:r>
              <w:rPr>
                <w:rFonts w:hint="eastAsia"/>
                <w:sz w:val="24"/>
                <w:szCs w:val="24"/>
              </w:rPr>
              <w:t>募集金额</w:t>
            </w:r>
            <w:r>
              <w:rPr>
                <w:rFonts w:hint="eastAsia"/>
                <w:sz w:val="24"/>
                <w:szCs w:val="24"/>
                <w:lang w:val="en-US"/>
              </w:rPr>
              <w:t>(万)</w:t>
            </w:r>
          </w:p>
        </w:tc>
        <w:tc>
          <w:tcPr>
            <w:tcW w:w="2117" w:type="dxa"/>
            <w:vAlign w:val="center"/>
          </w:tcPr>
          <w:p w:rsidR="00C822CD" w:rsidRDefault="00C822CD">
            <w:pPr>
              <w:jc w:val="center"/>
              <w:rPr>
                <w:sz w:val="24"/>
                <w:szCs w:val="24"/>
                <w:lang w:val="en-US"/>
              </w:rPr>
            </w:pPr>
            <w:r>
              <w:rPr>
                <w:rFonts w:hint="eastAsia"/>
                <w:sz w:val="24"/>
                <w:szCs w:val="24"/>
                <w:lang w:val="en-US"/>
              </w:rPr>
              <w:t>624,948</w:t>
            </w:r>
          </w:p>
        </w:tc>
        <w:tc>
          <w:tcPr>
            <w:tcW w:w="2127" w:type="dxa"/>
            <w:vAlign w:val="center"/>
          </w:tcPr>
          <w:p w:rsidR="00C822CD" w:rsidRDefault="00C822CD">
            <w:pPr>
              <w:jc w:val="center"/>
              <w:rPr>
                <w:sz w:val="24"/>
                <w:szCs w:val="24"/>
                <w:lang w:val="en-US"/>
              </w:rPr>
            </w:pPr>
            <w:r>
              <w:rPr>
                <w:rFonts w:hint="eastAsia"/>
                <w:sz w:val="24"/>
                <w:szCs w:val="24"/>
                <w:lang w:val="en-US"/>
              </w:rPr>
              <w:t>318，166</w:t>
            </w:r>
          </w:p>
        </w:tc>
        <w:tc>
          <w:tcPr>
            <w:tcW w:w="2126" w:type="dxa"/>
            <w:vAlign w:val="center"/>
          </w:tcPr>
          <w:p w:rsidR="00C822CD" w:rsidRDefault="00C822CD">
            <w:pPr>
              <w:jc w:val="center"/>
              <w:rPr>
                <w:sz w:val="24"/>
                <w:szCs w:val="24"/>
                <w:lang w:val="en-US"/>
              </w:rPr>
            </w:pPr>
            <w:r>
              <w:rPr>
                <w:rFonts w:hint="eastAsia"/>
                <w:sz w:val="24"/>
                <w:szCs w:val="24"/>
                <w:lang w:val="en-US"/>
              </w:rPr>
              <w:t>943,114</w:t>
            </w:r>
          </w:p>
        </w:tc>
      </w:tr>
      <w:tr w:rsidR="00C822CD" w:rsidTr="00C822CD">
        <w:tc>
          <w:tcPr>
            <w:tcW w:w="924" w:type="dxa"/>
            <w:vMerge/>
            <w:vAlign w:val="center"/>
          </w:tcPr>
          <w:p w:rsidR="00C822CD" w:rsidRDefault="00C822CD">
            <w:pPr>
              <w:jc w:val="center"/>
              <w:rPr>
                <w:b/>
                <w:bCs/>
                <w:sz w:val="24"/>
                <w:szCs w:val="24"/>
              </w:rPr>
            </w:pPr>
          </w:p>
        </w:tc>
        <w:tc>
          <w:tcPr>
            <w:tcW w:w="1500" w:type="dxa"/>
            <w:vAlign w:val="center"/>
          </w:tcPr>
          <w:p w:rsidR="00C822CD" w:rsidRDefault="00C822CD">
            <w:pPr>
              <w:jc w:val="center"/>
              <w:rPr>
                <w:rFonts w:eastAsia="宋体"/>
                <w:sz w:val="24"/>
                <w:szCs w:val="24"/>
              </w:rPr>
            </w:pPr>
            <w:r>
              <w:rPr>
                <w:rFonts w:hint="eastAsia"/>
                <w:sz w:val="24"/>
                <w:szCs w:val="24"/>
              </w:rPr>
              <w:t>金额占比</w:t>
            </w:r>
          </w:p>
        </w:tc>
        <w:tc>
          <w:tcPr>
            <w:tcW w:w="2117" w:type="dxa"/>
            <w:vAlign w:val="center"/>
          </w:tcPr>
          <w:p w:rsidR="00C822CD" w:rsidRDefault="00C822CD">
            <w:pPr>
              <w:jc w:val="center"/>
              <w:textAlignment w:val="center"/>
              <w:rPr>
                <w:sz w:val="24"/>
                <w:szCs w:val="24"/>
              </w:rPr>
            </w:pPr>
            <w:r>
              <w:rPr>
                <w:rFonts w:hint="eastAsia"/>
                <w:sz w:val="24"/>
                <w:lang w:val="en-US"/>
              </w:rPr>
              <w:t>66.26</w:t>
            </w:r>
            <w:r>
              <w:rPr>
                <w:sz w:val="24"/>
              </w:rPr>
              <w:t>%</w:t>
            </w:r>
          </w:p>
        </w:tc>
        <w:tc>
          <w:tcPr>
            <w:tcW w:w="2127" w:type="dxa"/>
            <w:vAlign w:val="center"/>
          </w:tcPr>
          <w:p w:rsidR="00C822CD" w:rsidRDefault="00C822CD">
            <w:pPr>
              <w:jc w:val="center"/>
              <w:textAlignment w:val="center"/>
              <w:rPr>
                <w:sz w:val="24"/>
                <w:szCs w:val="24"/>
              </w:rPr>
            </w:pPr>
            <w:r>
              <w:rPr>
                <w:rFonts w:hint="eastAsia"/>
                <w:sz w:val="24"/>
                <w:lang w:val="en-US"/>
              </w:rPr>
              <w:t>33.74</w:t>
            </w:r>
            <w:r>
              <w:rPr>
                <w:sz w:val="24"/>
              </w:rPr>
              <w:t>%</w:t>
            </w:r>
          </w:p>
        </w:tc>
        <w:tc>
          <w:tcPr>
            <w:tcW w:w="2126" w:type="dxa"/>
            <w:vAlign w:val="center"/>
          </w:tcPr>
          <w:p w:rsidR="00C822CD" w:rsidRDefault="00C822CD">
            <w:pPr>
              <w:jc w:val="center"/>
              <w:rPr>
                <w:sz w:val="24"/>
                <w:szCs w:val="24"/>
                <w:lang w:val="en-US"/>
              </w:rPr>
            </w:pPr>
            <w:r>
              <w:rPr>
                <w:rFonts w:hint="eastAsia"/>
                <w:sz w:val="24"/>
                <w:szCs w:val="24"/>
                <w:lang w:val="en-US"/>
              </w:rPr>
              <w:t>100.00%</w:t>
            </w:r>
          </w:p>
        </w:tc>
      </w:tr>
    </w:tbl>
    <w:p w:rsidR="001E4202" w:rsidRDefault="001014D6">
      <w:pPr>
        <w:pStyle w:val="a6"/>
        <w:widowControl/>
        <w:numPr>
          <w:ilvl w:val="0"/>
          <w:numId w:val="2"/>
        </w:numPr>
        <w:shd w:val="clear" w:color="auto" w:fill="FFFFFF"/>
        <w:spacing w:beforeAutospacing="0" w:afterAutospacing="0" w:line="560" w:lineRule="exact"/>
        <w:ind w:leftChars="200" w:left="440"/>
        <w:jc w:val="both"/>
        <w:rPr>
          <w:rFonts w:ascii="Times New Roman" w:eastAsia="楷体" w:hAnsi="Times New Roman"/>
          <w:spacing w:val="8"/>
          <w:sz w:val="32"/>
          <w:szCs w:val="32"/>
          <w:shd w:val="clear" w:color="auto" w:fill="FFFFFF"/>
          <w:lang w:val="en-US"/>
        </w:rPr>
      </w:pPr>
      <w:r>
        <w:rPr>
          <w:rFonts w:ascii="Times New Roman" w:eastAsia="楷体" w:hAnsi="Times New Roman" w:hint="eastAsia"/>
          <w:spacing w:val="8"/>
          <w:sz w:val="32"/>
          <w:szCs w:val="32"/>
          <w:shd w:val="clear" w:color="auto" w:fill="FFFFFF"/>
          <w:lang w:val="en-US"/>
        </w:rPr>
        <w:t>按收益方式划分</w:t>
      </w:r>
    </w:p>
    <w:tbl>
      <w:tblPr>
        <w:tblW w:w="8705" w:type="dxa"/>
        <w:jc w:val="center"/>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39"/>
        <w:gridCol w:w="2184"/>
        <w:gridCol w:w="2514"/>
        <w:gridCol w:w="2468"/>
      </w:tblGrid>
      <w:tr w:rsidR="00C822CD" w:rsidTr="00C822CD">
        <w:trPr>
          <w:jc w:val="center"/>
        </w:trPr>
        <w:tc>
          <w:tcPr>
            <w:tcW w:w="3723" w:type="dxa"/>
            <w:gridSpan w:val="2"/>
            <w:tcBorders>
              <w:top w:val="single" w:sz="4" w:space="0" w:color="auto"/>
              <w:left w:val="single" w:sz="4" w:space="0" w:color="auto"/>
            </w:tcBorders>
            <w:vAlign w:val="center"/>
          </w:tcPr>
          <w:p w:rsidR="00C822CD" w:rsidRDefault="00C822CD">
            <w:pPr>
              <w:jc w:val="center"/>
              <w:rPr>
                <w:sz w:val="24"/>
                <w:szCs w:val="24"/>
              </w:rPr>
            </w:pPr>
          </w:p>
        </w:tc>
        <w:tc>
          <w:tcPr>
            <w:tcW w:w="2514" w:type="dxa"/>
            <w:tcBorders>
              <w:top w:val="single" w:sz="4" w:space="0" w:color="auto"/>
            </w:tcBorders>
            <w:vAlign w:val="center"/>
          </w:tcPr>
          <w:p w:rsidR="00C822CD" w:rsidRPr="00AC6DD5" w:rsidRDefault="00C822CD">
            <w:pPr>
              <w:jc w:val="center"/>
              <w:rPr>
                <w:b/>
                <w:bCs/>
                <w:sz w:val="24"/>
                <w:szCs w:val="24"/>
                <w:lang w:val="en-US"/>
              </w:rPr>
            </w:pPr>
            <w:r w:rsidRPr="00AC6DD5">
              <w:rPr>
                <w:rFonts w:hint="eastAsia"/>
                <w:b/>
                <w:bCs/>
                <w:sz w:val="24"/>
                <w:szCs w:val="24"/>
                <w:lang w:val="en-US"/>
              </w:rPr>
              <w:t>非保本浮动收益型</w:t>
            </w:r>
          </w:p>
        </w:tc>
        <w:tc>
          <w:tcPr>
            <w:tcW w:w="2468" w:type="dxa"/>
            <w:tcBorders>
              <w:top w:val="single" w:sz="4" w:space="0" w:color="auto"/>
              <w:right w:val="single" w:sz="4" w:space="0" w:color="auto"/>
            </w:tcBorders>
            <w:vAlign w:val="center"/>
          </w:tcPr>
          <w:p w:rsidR="00C822CD" w:rsidRPr="00AC6DD5" w:rsidRDefault="00C822CD">
            <w:pPr>
              <w:jc w:val="center"/>
              <w:rPr>
                <w:b/>
                <w:bCs/>
                <w:sz w:val="24"/>
                <w:szCs w:val="24"/>
                <w:lang w:val="en-US"/>
              </w:rPr>
            </w:pPr>
            <w:r w:rsidRPr="00AC6DD5">
              <w:rPr>
                <w:rFonts w:hint="eastAsia"/>
                <w:b/>
                <w:bCs/>
                <w:sz w:val="24"/>
                <w:szCs w:val="24"/>
                <w:lang w:val="en-US"/>
              </w:rPr>
              <w:t>合计</w:t>
            </w:r>
          </w:p>
        </w:tc>
      </w:tr>
      <w:tr w:rsidR="00C822CD" w:rsidTr="00C822CD">
        <w:trPr>
          <w:jc w:val="center"/>
        </w:trPr>
        <w:tc>
          <w:tcPr>
            <w:tcW w:w="1539" w:type="dxa"/>
            <w:vMerge w:val="restart"/>
            <w:tcBorders>
              <w:left w:val="single" w:sz="4" w:space="0" w:color="auto"/>
            </w:tcBorders>
            <w:vAlign w:val="center"/>
          </w:tcPr>
          <w:p w:rsidR="00C822CD" w:rsidRPr="00DB3A37" w:rsidRDefault="00C822CD">
            <w:pPr>
              <w:jc w:val="center"/>
              <w:rPr>
                <w:sz w:val="24"/>
                <w:szCs w:val="24"/>
              </w:rPr>
            </w:pPr>
            <w:r w:rsidRPr="00DB3A37">
              <w:rPr>
                <w:rFonts w:hint="eastAsia"/>
                <w:sz w:val="24"/>
                <w:szCs w:val="24"/>
              </w:rPr>
              <w:t>2019年上半年</w:t>
            </w:r>
          </w:p>
        </w:tc>
        <w:tc>
          <w:tcPr>
            <w:tcW w:w="2184" w:type="dxa"/>
            <w:vAlign w:val="center"/>
          </w:tcPr>
          <w:p w:rsidR="00C822CD" w:rsidRPr="00DB3A37" w:rsidRDefault="00C822CD">
            <w:pPr>
              <w:jc w:val="center"/>
              <w:rPr>
                <w:sz w:val="24"/>
                <w:szCs w:val="24"/>
              </w:rPr>
            </w:pPr>
            <w:r>
              <w:rPr>
                <w:rFonts w:hint="eastAsia"/>
                <w:sz w:val="24"/>
                <w:szCs w:val="24"/>
              </w:rPr>
              <w:t>期数</w:t>
            </w:r>
          </w:p>
        </w:tc>
        <w:tc>
          <w:tcPr>
            <w:tcW w:w="2514" w:type="dxa"/>
            <w:vAlign w:val="center"/>
          </w:tcPr>
          <w:p w:rsidR="00C822CD" w:rsidRPr="00DB3A37" w:rsidRDefault="00C822CD">
            <w:pPr>
              <w:jc w:val="center"/>
              <w:rPr>
                <w:sz w:val="24"/>
                <w:szCs w:val="24"/>
              </w:rPr>
            </w:pPr>
            <w:r w:rsidRPr="00DB3A37">
              <w:rPr>
                <w:rFonts w:hint="eastAsia"/>
                <w:sz w:val="24"/>
                <w:szCs w:val="24"/>
              </w:rPr>
              <w:t>84</w:t>
            </w:r>
          </w:p>
        </w:tc>
        <w:tc>
          <w:tcPr>
            <w:tcW w:w="2468" w:type="dxa"/>
            <w:tcBorders>
              <w:right w:val="single" w:sz="4" w:space="0" w:color="auto"/>
            </w:tcBorders>
            <w:vAlign w:val="center"/>
          </w:tcPr>
          <w:p w:rsidR="00C822CD" w:rsidRPr="00DB3A37" w:rsidRDefault="00C822CD">
            <w:pPr>
              <w:jc w:val="center"/>
              <w:rPr>
                <w:sz w:val="24"/>
                <w:szCs w:val="24"/>
              </w:rPr>
            </w:pPr>
            <w:r w:rsidRPr="00DB3A37">
              <w:rPr>
                <w:rFonts w:hint="eastAsia"/>
                <w:sz w:val="24"/>
                <w:szCs w:val="24"/>
              </w:rPr>
              <w:t>84</w:t>
            </w:r>
          </w:p>
        </w:tc>
      </w:tr>
      <w:tr w:rsidR="00C822CD" w:rsidTr="00C822CD">
        <w:trPr>
          <w:jc w:val="center"/>
        </w:trPr>
        <w:tc>
          <w:tcPr>
            <w:tcW w:w="1539" w:type="dxa"/>
            <w:vMerge/>
            <w:tcBorders>
              <w:left w:val="single" w:sz="4" w:space="0" w:color="auto"/>
            </w:tcBorders>
            <w:vAlign w:val="center"/>
          </w:tcPr>
          <w:p w:rsidR="00C822CD" w:rsidRPr="00DB3A37" w:rsidRDefault="00C822CD">
            <w:pPr>
              <w:jc w:val="center"/>
              <w:rPr>
                <w:sz w:val="24"/>
                <w:szCs w:val="24"/>
              </w:rPr>
            </w:pPr>
          </w:p>
        </w:tc>
        <w:tc>
          <w:tcPr>
            <w:tcW w:w="2184" w:type="dxa"/>
            <w:vAlign w:val="center"/>
          </w:tcPr>
          <w:p w:rsidR="00C822CD" w:rsidRPr="00DB3A37" w:rsidRDefault="00C822CD">
            <w:pPr>
              <w:jc w:val="center"/>
              <w:rPr>
                <w:sz w:val="24"/>
                <w:szCs w:val="24"/>
              </w:rPr>
            </w:pPr>
            <w:r>
              <w:rPr>
                <w:rFonts w:hint="eastAsia"/>
                <w:sz w:val="24"/>
                <w:szCs w:val="24"/>
              </w:rPr>
              <w:t>募集金额</w:t>
            </w:r>
            <w:r w:rsidRPr="00DB3A37">
              <w:rPr>
                <w:rFonts w:hint="eastAsia"/>
                <w:sz w:val="24"/>
                <w:szCs w:val="24"/>
              </w:rPr>
              <w:t>(万)</w:t>
            </w:r>
          </w:p>
        </w:tc>
        <w:tc>
          <w:tcPr>
            <w:tcW w:w="2514" w:type="dxa"/>
            <w:vAlign w:val="center"/>
          </w:tcPr>
          <w:p w:rsidR="00C822CD" w:rsidRPr="00DB3A37" w:rsidRDefault="00C822CD">
            <w:pPr>
              <w:jc w:val="center"/>
              <w:rPr>
                <w:sz w:val="24"/>
                <w:szCs w:val="24"/>
              </w:rPr>
            </w:pPr>
            <w:r w:rsidRPr="00DB3A37">
              <w:rPr>
                <w:rFonts w:hint="eastAsia"/>
                <w:sz w:val="24"/>
                <w:szCs w:val="24"/>
              </w:rPr>
              <w:t>943,114</w:t>
            </w:r>
          </w:p>
        </w:tc>
        <w:tc>
          <w:tcPr>
            <w:tcW w:w="2468" w:type="dxa"/>
            <w:tcBorders>
              <w:right w:val="single" w:sz="4" w:space="0" w:color="auto"/>
            </w:tcBorders>
            <w:vAlign w:val="center"/>
          </w:tcPr>
          <w:p w:rsidR="00C822CD" w:rsidRPr="00DB3A37" w:rsidRDefault="00C822CD">
            <w:pPr>
              <w:jc w:val="center"/>
              <w:rPr>
                <w:sz w:val="24"/>
                <w:szCs w:val="24"/>
              </w:rPr>
            </w:pPr>
            <w:r w:rsidRPr="00DB3A37">
              <w:rPr>
                <w:rFonts w:hint="eastAsia"/>
                <w:sz w:val="24"/>
                <w:szCs w:val="24"/>
              </w:rPr>
              <w:t>943,114</w:t>
            </w:r>
          </w:p>
        </w:tc>
      </w:tr>
      <w:tr w:rsidR="00C822CD" w:rsidTr="00C822CD">
        <w:trPr>
          <w:jc w:val="center"/>
        </w:trPr>
        <w:tc>
          <w:tcPr>
            <w:tcW w:w="1539" w:type="dxa"/>
            <w:vMerge/>
            <w:tcBorders>
              <w:left w:val="single" w:sz="4" w:space="0" w:color="auto"/>
            </w:tcBorders>
            <w:vAlign w:val="center"/>
          </w:tcPr>
          <w:p w:rsidR="00C822CD" w:rsidRPr="00DB3A37" w:rsidRDefault="00C822CD">
            <w:pPr>
              <w:jc w:val="center"/>
              <w:rPr>
                <w:sz w:val="24"/>
                <w:szCs w:val="24"/>
              </w:rPr>
            </w:pPr>
          </w:p>
        </w:tc>
        <w:tc>
          <w:tcPr>
            <w:tcW w:w="2184" w:type="dxa"/>
            <w:tcBorders>
              <w:bottom w:val="single" w:sz="4" w:space="0" w:color="auto"/>
            </w:tcBorders>
            <w:vAlign w:val="center"/>
          </w:tcPr>
          <w:p w:rsidR="00C822CD" w:rsidRPr="00DB3A37" w:rsidRDefault="00C822CD">
            <w:pPr>
              <w:jc w:val="center"/>
              <w:rPr>
                <w:sz w:val="24"/>
                <w:szCs w:val="24"/>
              </w:rPr>
            </w:pPr>
            <w:r>
              <w:rPr>
                <w:rFonts w:hint="eastAsia"/>
                <w:sz w:val="24"/>
                <w:szCs w:val="24"/>
              </w:rPr>
              <w:t>金额占比</w:t>
            </w:r>
          </w:p>
        </w:tc>
        <w:tc>
          <w:tcPr>
            <w:tcW w:w="2514" w:type="dxa"/>
            <w:tcBorders>
              <w:bottom w:val="single" w:sz="4" w:space="0" w:color="auto"/>
            </w:tcBorders>
            <w:vAlign w:val="center"/>
          </w:tcPr>
          <w:p w:rsidR="00C822CD" w:rsidRDefault="00C822CD">
            <w:pPr>
              <w:jc w:val="center"/>
              <w:textAlignment w:val="center"/>
              <w:rPr>
                <w:sz w:val="24"/>
                <w:szCs w:val="24"/>
              </w:rPr>
            </w:pPr>
            <w:r w:rsidRPr="00DB3A37">
              <w:rPr>
                <w:rFonts w:hint="eastAsia"/>
                <w:sz w:val="24"/>
                <w:szCs w:val="24"/>
              </w:rPr>
              <w:t>100</w:t>
            </w:r>
            <w:r w:rsidRPr="00DB3A37">
              <w:rPr>
                <w:sz w:val="24"/>
                <w:szCs w:val="24"/>
              </w:rPr>
              <w:t>%</w:t>
            </w:r>
          </w:p>
        </w:tc>
        <w:tc>
          <w:tcPr>
            <w:tcW w:w="2468" w:type="dxa"/>
            <w:tcBorders>
              <w:bottom w:val="single" w:sz="4" w:space="0" w:color="auto"/>
              <w:right w:val="single" w:sz="4" w:space="0" w:color="auto"/>
            </w:tcBorders>
            <w:vAlign w:val="center"/>
          </w:tcPr>
          <w:p w:rsidR="00C822CD" w:rsidRPr="00DB3A37" w:rsidRDefault="00C822CD">
            <w:pPr>
              <w:jc w:val="center"/>
              <w:textAlignment w:val="center"/>
              <w:rPr>
                <w:sz w:val="24"/>
                <w:szCs w:val="24"/>
              </w:rPr>
            </w:pPr>
            <w:r w:rsidRPr="00DB3A37">
              <w:rPr>
                <w:rFonts w:hint="eastAsia"/>
                <w:sz w:val="24"/>
                <w:szCs w:val="24"/>
              </w:rPr>
              <w:t>100.00%</w:t>
            </w:r>
          </w:p>
        </w:tc>
      </w:tr>
    </w:tbl>
    <w:p w:rsidR="001E4202" w:rsidRDefault="001014D6">
      <w:pPr>
        <w:pStyle w:val="a6"/>
        <w:widowControl/>
        <w:shd w:val="clear" w:color="auto" w:fill="FFFFFF"/>
        <w:spacing w:beforeAutospacing="0" w:afterAutospacing="0" w:line="560" w:lineRule="exact"/>
        <w:jc w:val="both"/>
        <w:rPr>
          <w:rFonts w:ascii="Times New Roman" w:eastAsia="楷体" w:hAnsi="Times New Roman"/>
          <w:color w:val="333333"/>
          <w:spacing w:val="8"/>
          <w:sz w:val="32"/>
          <w:szCs w:val="32"/>
          <w:shd w:val="clear" w:color="auto" w:fill="FFFFFF"/>
          <w:lang w:val="en-US"/>
        </w:rPr>
      </w:pPr>
      <w:r>
        <w:rPr>
          <w:rFonts w:ascii="Times New Roman" w:eastAsia="楷体" w:hAnsi="Times New Roman" w:hint="eastAsia"/>
          <w:color w:val="333333"/>
          <w:spacing w:val="8"/>
          <w:sz w:val="32"/>
          <w:szCs w:val="32"/>
          <w:shd w:val="clear" w:color="auto" w:fill="FFFFFF"/>
          <w:lang w:val="en-US"/>
        </w:rPr>
        <w:t xml:space="preserve">    </w:t>
      </w:r>
      <w:r>
        <w:rPr>
          <w:rFonts w:ascii="Times New Roman" w:eastAsia="楷体" w:hAnsi="Times New Roman" w:hint="eastAsia"/>
          <w:color w:val="333333"/>
          <w:spacing w:val="8"/>
          <w:sz w:val="32"/>
          <w:szCs w:val="32"/>
          <w:shd w:val="clear" w:color="auto" w:fill="FFFFFF"/>
          <w:lang w:val="en-US"/>
        </w:rPr>
        <w:t>（三）按产品运作模式</w:t>
      </w:r>
      <w:r>
        <w:rPr>
          <w:rFonts w:ascii="Times New Roman" w:eastAsia="楷体" w:hAnsi="Times New Roman" w:hint="eastAsia"/>
          <w:spacing w:val="8"/>
          <w:sz w:val="32"/>
          <w:szCs w:val="32"/>
          <w:shd w:val="clear" w:color="auto" w:fill="FFFFFF"/>
          <w:lang w:val="en-US"/>
        </w:rPr>
        <w:t>划分</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5"/>
        <w:gridCol w:w="1457"/>
        <w:gridCol w:w="2301"/>
        <w:gridCol w:w="2514"/>
        <w:gridCol w:w="1727"/>
      </w:tblGrid>
      <w:tr w:rsidR="001E4202" w:rsidTr="00C822CD">
        <w:trPr>
          <w:jc w:val="center"/>
        </w:trPr>
        <w:tc>
          <w:tcPr>
            <w:tcW w:w="2242" w:type="dxa"/>
            <w:gridSpan w:val="2"/>
            <w:tcBorders>
              <w:top w:val="single" w:sz="4" w:space="0" w:color="auto"/>
              <w:left w:val="single" w:sz="4" w:space="0" w:color="auto"/>
            </w:tcBorders>
            <w:vAlign w:val="center"/>
          </w:tcPr>
          <w:p w:rsidR="001E4202" w:rsidRDefault="001E4202">
            <w:pPr>
              <w:jc w:val="center"/>
              <w:rPr>
                <w:sz w:val="24"/>
                <w:szCs w:val="24"/>
              </w:rPr>
            </w:pPr>
          </w:p>
        </w:tc>
        <w:tc>
          <w:tcPr>
            <w:tcW w:w="2301" w:type="dxa"/>
            <w:tcBorders>
              <w:top w:val="single" w:sz="4" w:space="0" w:color="auto"/>
            </w:tcBorders>
            <w:vAlign w:val="center"/>
          </w:tcPr>
          <w:p w:rsidR="001E4202" w:rsidRPr="00AC6DD5" w:rsidRDefault="001014D6">
            <w:pPr>
              <w:jc w:val="center"/>
              <w:rPr>
                <w:b/>
                <w:bCs/>
                <w:sz w:val="24"/>
                <w:szCs w:val="24"/>
                <w:lang w:val="en-US"/>
              </w:rPr>
            </w:pPr>
            <w:r w:rsidRPr="00AC6DD5">
              <w:rPr>
                <w:rFonts w:hint="eastAsia"/>
                <w:b/>
                <w:bCs/>
                <w:sz w:val="24"/>
                <w:szCs w:val="24"/>
                <w:lang w:val="en-US"/>
              </w:rPr>
              <w:t>非净值型</w:t>
            </w:r>
          </w:p>
        </w:tc>
        <w:tc>
          <w:tcPr>
            <w:tcW w:w="2514" w:type="dxa"/>
            <w:tcBorders>
              <w:top w:val="single" w:sz="4" w:space="0" w:color="auto"/>
            </w:tcBorders>
            <w:vAlign w:val="center"/>
          </w:tcPr>
          <w:p w:rsidR="001E4202" w:rsidRPr="00AC6DD5" w:rsidRDefault="001014D6">
            <w:pPr>
              <w:jc w:val="center"/>
              <w:rPr>
                <w:b/>
                <w:bCs/>
                <w:sz w:val="24"/>
                <w:szCs w:val="24"/>
                <w:lang w:val="en-US"/>
              </w:rPr>
            </w:pPr>
            <w:r w:rsidRPr="00AC6DD5">
              <w:rPr>
                <w:rFonts w:hint="eastAsia"/>
                <w:b/>
                <w:bCs/>
                <w:sz w:val="24"/>
                <w:szCs w:val="24"/>
                <w:lang w:val="en-US"/>
              </w:rPr>
              <w:t>净值型</w:t>
            </w:r>
          </w:p>
        </w:tc>
        <w:tc>
          <w:tcPr>
            <w:tcW w:w="1727" w:type="dxa"/>
            <w:tcBorders>
              <w:top w:val="single" w:sz="4" w:space="0" w:color="auto"/>
              <w:right w:val="single" w:sz="4" w:space="0" w:color="auto"/>
            </w:tcBorders>
            <w:vAlign w:val="center"/>
          </w:tcPr>
          <w:p w:rsidR="001E4202" w:rsidRPr="00AC6DD5" w:rsidRDefault="001014D6">
            <w:pPr>
              <w:jc w:val="center"/>
              <w:rPr>
                <w:b/>
                <w:bCs/>
                <w:sz w:val="24"/>
                <w:szCs w:val="24"/>
                <w:lang w:val="en-US"/>
              </w:rPr>
            </w:pPr>
            <w:r w:rsidRPr="00AC6DD5">
              <w:rPr>
                <w:rFonts w:hint="eastAsia"/>
                <w:b/>
                <w:bCs/>
                <w:sz w:val="24"/>
                <w:szCs w:val="24"/>
                <w:lang w:val="en-US"/>
              </w:rPr>
              <w:t>合计</w:t>
            </w:r>
          </w:p>
        </w:tc>
      </w:tr>
      <w:tr w:rsidR="001E4202" w:rsidTr="00C822CD">
        <w:trPr>
          <w:jc w:val="center"/>
        </w:trPr>
        <w:tc>
          <w:tcPr>
            <w:tcW w:w="785" w:type="dxa"/>
            <w:vMerge w:val="restart"/>
            <w:tcBorders>
              <w:left w:val="single" w:sz="4" w:space="0" w:color="auto"/>
            </w:tcBorders>
            <w:vAlign w:val="center"/>
          </w:tcPr>
          <w:p w:rsidR="001E4202" w:rsidRPr="00DB3A37" w:rsidRDefault="001014D6">
            <w:pPr>
              <w:jc w:val="center"/>
              <w:rPr>
                <w:sz w:val="24"/>
                <w:szCs w:val="24"/>
              </w:rPr>
            </w:pPr>
            <w:r w:rsidRPr="00DB3A37">
              <w:rPr>
                <w:rFonts w:hint="eastAsia"/>
                <w:sz w:val="24"/>
                <w:szCs w:val="24"/>
              </w:rPr>
              <w:t>2019年上半年</w:t>
            </w:r>
          </w:p>
        </w:tc>
        <w:tc>
          <w:tcPr>
            <w:tcW w:w="1457" w:type="dxa"/>
            <w:vAlign w:val="center"/>
          </w:tcPr>
          <w:p w:rsidR="001E4202" w:rsidRPr="00DB3A37" w:rsidRDefault="001014D6">
            <w:pPr>
              <w:jc w:val="center"/>
              <w:rPr>
                <w:sz w:val="24"/>
                <w:szCs w:val="24"/>
              </w:rPr>
            </w:pPr>
            <w:r>
              <w:rPr>
                <w:rFonts w:hint="eastAsia"/>
                <w:sz w:val="24"/>
                <w:szCs w:val="24"/>
              </w:rPr>
              <w:t>期数</w:t>
            </w:r>
          </w:p>
        </w:tc>
        <w:tc>
          <w:tcPr>
            <w:tcW w:w="2301" w:type="dxa"/>
            <w:vAlign w:val="center"/>
          </w:tcPr>
          <w:p w:rsidR="001E4202" w:rsidRPr="00DB3A37" w:rsidRDefault="001014D6">
            <w:pPr>
              <w:jc w:val="center"/>
              <w:rPr>
                <w:sz w:val="24"/>
                <w:szCs w:val="24"/>
              </w:rPr>
            </w:pPr>
            <w:r w:rsidRPr="00DB3A37">
              <w:rPr>
                <w:rFonts w:hint="eastAsia"/>
                <w:sz w:val="24"/>
                <w:szCs w:val="24"/>
              </w:rPr>
              <w:t>43</w:t>
            </w:r>
          </w:p>
        </w:tc>
        <w:tc>
          <w:tcPr>
            <w:tcW w:w="2514" w:type="dxa"/>
            <w:vAlign w:val="center"/>
          </w:tcPr>
          <w:p w:rsidR="001E4202" w:rsidRPr="00DB3A37" w:rsidRDefault="001014D6">
            <w:pPr>
              <w:jc w:val="center"/>
              <w:rPr>
                <w:sz w:val="24"/>
                <w:szCs w:val="24"/>
              </w:rPr>
            </w:pPr>
            <w:r w:rsidRPr="00DB3A37">
              <w:rPr>
                <w:rFonts w:hint="eastAsia"/>
                <w:sz w:val="24"/>
                <w:szCs w:val="24"/>
              </w:rPr>
              <w:t>41</w:t>
            </w:r>
          </w:p>
        </w:tc>
        <w:tc>
          <w:tcPr>
            <w:tcW w:w="1727"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84</w:t>
            </w:r>
          </w:p>
        </w:tc>
      </w:tr>
      <w:tr w:rsidR="001E4202" w:rsidTr="00C822CD">
        <w:trPr>
          <w:jc w:val="center"/>
        </w:trPr>
        <w:tc>
          <w:tcPr>
            <w:tcW w:w="785" w:type="dxa"/>
            <w:vMerge/>
            <w:tcBorders>
              <w:left w:val="single" w:sz="4" w:space="0" w:color="auto"/>
            </w:tcBorders>
            <w:vAlign w:val="center"/>
          </w:tcPr>
          <w:p w:rsidR="001E4202" w:rsidRPr="00DB3A37" w:rsidRDefault="001E4202">
            <w:pPr>
              <w:jc w:val="center"/>
              <w:rPr>
                <w:sz w:val="24"/>
                <w:szCs w:val="24"/>
              </w:rPr>
            </w:pPr>
          </w:p>
        </w:tc>
        <w:tc>
          <w:tcPr>
            <w:tcW w:w="1457" w:type="dxa"/>
            <w:vAlign w:val="center"/>
          </w:tcPr>
          <w:p w:rsidR="001E4202" w:rsidRPr="00DB3A37" w:rsidRDefault="001014D6">
            <w:pPr>
              <w:jc w:val="center"/>
              <w:rPr>
                <w:sz w:val="24"/>
                <w:szCs w:val="24"/>
              </w:rPr>
            </w:pPr>
            <w:r>
              <w:rPr>
                <w:rFonts w:hint="eastAsia"/>
                <w:sz w:val="24"/>
                <w:szCs w:val="24"/>
              </w:rPr>
              <w:t>募集金额</w:t>
            </w:r>
            <w:r w:rsidRPr="00DB3A37">
              <w:rPr>
                <w:rFonts w:hint="eastAsia"/>
                <w:sz w:val="24"/>
                <w:szCs w:val="24"/>
              </w:rPr>
              <w:t>(万)</w:t>
            </w:r>
          </w:p>
        </w:tc>
        <w:tc>
          <w:tcPr>
            <w:tcW w:w="2301" w:type="dxa"/>
            <w:vAlign w:val="center"/>
          </w:tcPr>
          <w:p w:rsidR="001E4202" w:rsidRPr="00DB3A37" w:rsidRDefault="001014D6">
            <w:pPr>
              <w:jc w:val="center"/>
              <w:rPr>
                <w:sz w:val="24"/>
                <w:szCs w:val="24"/>
              </w:rPr>
            </w:pPr>
            <w:r w:rsidRPr="00DB3A37">
              <w:rPr>
                <w:rFonts w:hint="eastAsia"/>
                <w:sz w:val="24"/>
                <w:szCs w:val="24"/>
              </w:rPr>
              <w:t>421,131</w:t>
            </w:r>
          </w:p>
        </w:tc>
        <w:tc>
          <w:tcPr>
            <w:tcW w:w="2514" w:type="dxa"/>
            <w:vAlign w:val="center"/>
          </w:tcPr>
          <w:p w:rsidR="001E4202" w:rsidRPr="00DB3A37" w:rsidRDefault="001014D6">
            <w:pPr>
              <w:jc w:val="center"/>
              <w:rPr>
                <w:sz w:val="24"/>
                <w:szCs w:val="24"/>
              </w:rPr>
            </w:pPr>
            <w:r w:rsidRPr="00DB3A37">
              <w:rPr>
                <w:rFonts w:hint="eastAsia"/>
                <w:sz w:val="24"/>
                <w:szCs w:val="24"/>
              </w:rPr>
              <w:t>521,983</w:t>
            </w:r>
          </w:p>
        </w:tc>
        <w:tc>
          <w:tcPr>
            <w:tcW w:w="1727"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943,114</w:t>
            </w:r>
          </w:p>
        </w:tc>
      </w:tr>
      <w:tr w:rsidR="001E4202" w:rsidTr="00C822CD">
        <w:trPr>
          <w:jc w:val="center"/>
        </w:trPr>
        <w:tc>
          <w:tcPr>
            <w:tcW w:w="785" w:type="dxa"/>
            <w:vMerge/>
            <w:tcBorders>
              <w:left w:val="single" w:sz="4" w:space="0" w:color="auto"/>
            </w:tcBorders>
            <w:vAlign w:val="center"/>
          </w:tcPr>
          <w:p w:rsidR="001E4202" w:rsidRPr="00DB3A37" w:rsidRDefault="001E4202">
            <w:pPr>
              <w:jc w:val="center"/>
              <w:rPr>
                <w:sz w:val="24"/>
                <w:szCs w:val="24"/>
              </w:rPr>
            </w:pPr>
          </w:p>
        </w:tc>
        <w:tc>
          <w:tcPr>
            <w:tcW w:w="1457" w:type="dxa"/>
            <w:tcBorders>
              <w:bottom w:val="single" w:sz="4" w:space="0" w:color="auto"/>
            </w:tcBorders>
            <w:vAlign w:val="center"/>
          </w:tcPr>
          <w:p w:rsidR="001E4202" w:rsidRPr="00DB3A37" w:rsidRDefault="001014D6">
            <w:pPr>
              <w:jc w:val="center"/>
              <w:rPr>
                <w:sz w:val="24"/>
                <w:szCs w:val="24"/>
              </w:rPr>
            </w:pPr>
            <w:r>
              <w:rPr>
                <w:rFonts w:hint="eastAsia"/>
                <w:sz w:val="24"/>
                <w:szCs w:val="24"/>
              </w:rPr>
              <w:t>金额占比</w:t>
            </w:r>
          </w:p>
        </w:tc>
        <w:tc>
          <w:tcPr>
            <w:tcW w:w="2301"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44.65</w:t>
            </w:r>
            <w:r w:rsidRPr="00DB3A37">
              <w:rPr>
                <w:sz w:val="24"/>
                <w:szCs w:val="24"/>
              </w:rPr>
              <w:t>%</w:t>
            </w:r>
          </w:p>
        </w:tc>
        <w:tc>
          <w:tcPr>
            <w:tcW w:w="2514"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55.35</w:t>
            </w:r>
            <w:r w:rsidRPr="00DB3A37">
              <w:rPr>
                <w:sz w:val="24"/>
                <w:szCs w:val="24"/>
              </w:rPr>
              <w:t>%</w:t>
            </w:r>
          </w:p>
        </w:tc>
        <w:tc>
          <w:tcPr>
            <w:tcW w:w="1727" w:type="dxa"/>
            <w:tcBorders>
              <w:bottom w:val="single" w:sz="4" w:space="0" w:color="auto"/>
              <w:right w:val="single" w:sz="4" w:space="0" w:color="auto"/>
            </w:tcBorders>
            <w:vAlign w:val="center"/>
          </w:tcPr>
          <w:p w:rsidR="001E4202" w:rsidRPr="00DB3A37" w:rsidRDefault="001014D6">
            <w:pPr>
              <w:jc w:val="center"/>
              <w:textAlignment w:val="center"/>
              <w:rPr>
                <w:sz w:val="24"/>
                <w:szCs w:val="24"/>
              </w:rPr>
            </w:pPr>
            <w:r w:rsidRPr="00DB3A37">
              <w:rPr>
                <w:rFonts w:hint="eastAsia"/>
                <w:sz w:val="24"/>
                <w:szCs w:val="24"/>
              </w:rPr>
              <w:t>100.00%</w:t>
            </w:r>
          </w:p>
        </w:tc>
      </w:tr>
    </w:tbl>
    <w:p w:rsidR="001E4202" w:rsidRDefault="001014D6">
      <w:pPr>
        <w:pStyle w:val="a6"/>
        <w:widowControl/>
        <w:shd w:val="clear" w:color="auto" w:fill="FFFFFF"/>
        <w:spacing w:beforeAutospacing="0" w:afterAutospacing="0" w:line="560" w:lineRule="exact"/>
        <w:jc w:val="both"/>
        <w:rPr>
          <w:rFonts w:ascii="Times New Roman" w:eastAsia="楷体" w:hAnsi="Times New Roman"/>
          <w:color w:val="333333"/>
          <w:spacing w:val="8"/>
          <w:sz w:val="32"/>
          <w:szCs w:val="32"/>
          <w:shd w:val="clear" w:color="auto" w:fill="FFFFFF"/>
          <w:lang w:val="en-US"/>
        </w:rPr>
      </w:pPr>
      <w:r>
        <w:rPr>
          <w:rFonts w:ascii="Times New Roman" w:eastAsia="楷体" w:hAnsi="Times New Roman" w:hint="eastAsia"/>
          <w:color w:val="333333"/>
          <w:spacing w:val="8"/>
          <w:sz w:val="32"/>
          <w:szCs w:val="32"/>
          <w:shd w:val="clear" w:color="auto" w:fill="FFFFFF"/>
          <w:lang w:val="en-US"/>
        </w:rPr>
        <w:t xml:space="preserve">    </w:t>
      </w:r>
      <w:r>
        <w:rPr>
          <w:rFonts w:ascii="Times New Roman" w:eastAsia="楷体" w:hAnsi="Times New Roman" w:hint="eastAsia"/>
          <w:color w:val="333333"/>
          <w:spacing w:val="8"/>
          <w:sz w:val="32"/>
          <w:szCs w:val="32"/>
          <w:shd w:val="clear" w:color="auto" w:fill="FFFFFF"/>
          <w:lang w:val="en-US"/>
        </w:rPr>
        <w:t>（四）按产品风险等级</w:t>
      </w:r>
      <w:r>
        <w:rPr>
          <w:rFonts w:ascii="Times New Roman" w:eastAsia="楷体" w:hAnsi="Times New Roman" w:hint="eastAsia"/>
          <w:spacing w:val="8"/>
          <w:sz w:val="32"/>
          <w:szCs w:val="32"/>
          <w:shd w:val="clear" w:color="auto" w:fill="FFFFFF"/>
          <w:lang w:val="en-US"/>
        </w:rPr>
        <w:t>划分</w:t>
      </w:r>
    </w:p>
    <w:p w:rsidR="001E4202" w:rsidRDefault="001014D6">
      <w:pPr>
        <w:widowControl/>
        <w:spacing w:line="560" w:lineRule="exact"/>
        <w:ind w:firstLineChars="200" w:firstLine="640"/>
        <w:rPr>
          <w:rFonts w:ascii="Times New Roman" w:hAnsi="Times New Roman" w:cs="Times New Roman"/>
          <w:bCs/>
          <w:sz w:val="32"/>
          <w:szCs w:val="32"/>
          <w:lang w:val="en-US"/>
        </w:rPr>
      </w:pPr>
      <w:r>
        <w:rPr>
          <w:rFonts w:ascii="Times New Roman" w:hAnsi="Times New Roman" w:cs="Times New Roman" w:hint="eastAsia"/>
          <w:bCs/>
          <w:sz w:val="32"/>
          <w:szCs w:val="32"/>
          <w:lang w:val="en-US"/>
        </w:rPr>
        <w:t>我行理财产品以中低风险为主，满足客户风险控制、稳健发展、均衡成长、保值增值的需要。未发行中高风险理财产品。详见下表：</w:t>
      </w:r>
    </w:p>
    <w:tbl>
      <w:tblPr>
        <w:tblpPr w:leftFromText="180" w:rightFromText="180" w:vertAnchor="text" w:horzAnchor="page" w:tblpX="1580" w:tblpY="49"/>
        <w:tblOverlap w:val="neve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4"/>
        <w:gridCol w:w="1500"/>
        <w:gridCol w:w="1275"/>
        <w:gridCol w:w="1065"/>
        <w:gridCol w:w="1305"/>
        <w:gridCol w:w="1305"/>
        <w:gridCol w:w="1530"/>
      </w:tblGrid>
      <w:tr w:rsidR="001E4202">
        <w:tc>
          <w:tcPr>
            <w:tcW w:w="2424" w:type="dxa"/>
            <w:gridSpan w:val="2"/>
            <w:vAlign w:val="center"/>
          </w:tcPr>
          <w:p w:rsidR="001E4202" w:rsidRDefault="001E4202">
            <w:pPr>
              <w:jc w:val="center"/>
              <w:rPr>
                <w:sz w:val="24"/>
                <w:szCs w:val="24"/>
              </w:rPr>
            </w:pPr>
          </w:p>
        </w:tc>
        <w:tc>
          <w:tcPr>
            <w:tcW w:w="1275" w:type="dxa"/>
            <w:vAlign w:val="center"/>
          </w:tcPr>
          <w:p w:rsidR="001E4202" w:rsidRDefault="001014D6">
            <w:pPr>
              <w:jc w:val="center"/>
              <w:rPr>
                <w:rFonts w:eastAsia="宋体"/>
                <w:b/>
                <w:bCs/>
                <w:sz w:val="24"/>
                <w:szCs w:val="24"/>
                <w:lang w:val="en-US"/>
              </w:rPr>
            </w:pPr>
            <w:r>
              <w:rPr>
                <w:rFonts w:hint="eastAsia"/>
                <w:b/>
                <w:bCs/>
                <w:sz w:val="24"/>
                <w:szCs w:val="24"/>
                <w:lang w:val="en-US"/>
              </w:rPr>
              <w:t>R1</w:t>
            </w:r>
          </w:p>
        </w:tc>
        <w:tc>
          <w:tcPr>
            <w:tcW w:w="1065" w:type="dxa"/>
            <w:vAlign w:val="center"/>
          </w:tcPr>
          <w:p w:rsidR="001E4202" w:rsidRDefault="001014D6">
            <w:pPr>
              <w:jc w:val="center"/>
              <w:rPr>
                <w:rFonts w:eastAsia="宋体"/>
                <w:b/>
                <w:bCs/>
                <w:sz w:val="24"/>
                <w:szCs w:val="24"/>
                <w:lang w:val="en-US"/>
              </w:rPr>
            </w:pPr>
            <w:r>
              <w:rPr>
                <w:rFonts w:eastAsia="宋体" w:hint="eastAsia"/>
                <w:b/>
                <w:bCs/>
                <w:sz w:val="24"/>
                <w:szCs w:val="24"/>
                <w:lang w:val="en-US"/>
              </w:rPr>
              <w:t>R2</w:t>
            </w:r>
          </w:p>
        </w:tc>
        <w:tc>
          <w:tcPr>
            <w:tcW w:w="1305" w:type="dxa"/>
            <w:vAlign w:val="center"/>
          </w:tcPr>
          <w:p w:rsidR="001E4202" w:rsidRDefault="001014D6">
            <w:pPr>
              <w:jc w:val="center"/>
              <w:rPr>
                <w:rFonts w:eastAsia="宋体"/>
                <w:b/>
                <w:bCs/>
                <w:sz w:val="24"/>
                <w:szCs w:val="24"/>
                <w:lang w:val="en-US"/>
              </w:rPr>
            </w:pPr>
            <w:r>
              <w:rPr>
                <w:rFonts w:hint="eastAsia"/>
                <w:b/>
                <w:bCs/>
                <w:sz w:val="24"/>
                <w:szCs w:val="24"/>
                <w:lang w:val="en-US"/>
              </w:rPr>
              <w:t>R3</w:t>
            </w:r>
          </w:p>
        </w:tc>
        <w:tc>
          <w:tcPr>
            <w:tcW w:w="1305" w:type="dxa"/>
            <w:vAlign w:val="center"/>
          </w:tcPr>
          <w:p w:rsidR="001E4202" w:rsidRDefault="001014D6">
            <w:pPr>
              <w:jc w:val="center"/>
              <w:rPr>
                <w:rFonts w:eastAsia="宋体"/>
                <w:b/>
                <w:bCs/>
                <w:sz w:val="24"/>
                <w:szCs w:val="24"/>
              </w:rPr>
            </w:pPr>
            <w:r>
              <w:rPr>
                <w:rFonts w:hint="eastAsia"/>
                <w:b/>
                <w:bCs/>
                <w:sz w:val="24"/>
                <w:szCs w:val="24"/>
                <w:lang w:val="en-US"/>
              </w:rPr>
              <w:t>R4-R5</w:t>
            </w:r>
          </w:p>
        </w:tc>
        <w:tc>
          <w:tcPr>
            <w:tcW w:w="1530" w:type="dxa"/>
            <w:vAlign w:val="center"/>
          </w:tcPr>
          <w:p w:rsidR="001E4202" w:rsidRDefault="001014D6">
            <w:pPr>
              <w:jc w:val="center"/>
              <w:rPr>
                <w:b/>
                <w:bCs/>
                <w:sz w:val="24"/>
                <w:szCs w:val="24"/>
              </w:rPr>
            </w:pPr>
            <w:r>
              <w:rPr>
                <w:rFonts w:hint="eastAsia"/>
                <w:b/>
                <w:bCs/>
                <w:sz w:val="24"/>
                <w:szCs w:val="24"/>
              </w:rPr>
              <w:t>合计</w:t>
            </w:r>
          </w:p>
        </w:tc>
      </w:tr>
      <w:tr w:rsidR="001E4202">
        <w:tc>
          <w:tcPr>
            <w:tcW w:w="924" w:type="dxa"/>
            <w:vMerge w:val="restart"/>
            <w:vAlign w:val="center"/>
          </w:tcPr>
          <w:p w:rsidR="001E4202" w:rsidRDefault="001014D6">
            <w:pPr>
              <w:jc w:val="center"/>
              <w:rPr>
                <w:rFonts w:eastAsia="宋体"/>
                <w:b/>
                <w:bCs/>
                <w:sz w:val="24"/>
                <w:szCs w:val="24"/>
                <w:lang w:val="en-US"/>
              </w:rPr>
            </w:pPr>
            <w:r>
              <w:rPr>
                <w:rFonts w:eastAsia="宋体" w:hint="eastAsia"/>
                <w:b/>
                <w:bCs/>
                <w:sz w:val="24"/>
                <w:szCs w:val="24"/>
                <w:lang w:val="en-US"/>
              </w:rPr>
              <w:t>2019</w:t>
            </w:r>
            <w:r>
              <w:rPr>
                <w:rFonts w:eastAsia="宋体" w:hint="eastAsia"/>
                <w:b/>
                <w:bCs/>
                <w:sz w:val="24"/>
                <w:szCs w:val="24"/>
                <w:lang w:val="en-US"/>
              </w:rPr>
              <w:t>年上半年</w:t>
            </w:r>
          </w:p>
        </w:tc>
        <w:tc>
          <w:tcPr>
            <w:tcW w:w="1500" w:type="dxa"/>
            <w:vAlign w:val="center"/>
          </w:tcPr>
          <w:p w:rsidR="001E4202" w:rsidRPr="00DB3A37" w:rsidRDefault="001014D6">
            <w:pPr>
              <w:jc w:val="center"/>
              <w:rPr>
                <w:sz w:val="24"/>
                <w:szCs w:val="24"/>
              </w:rPr>
            </w:pPr>
            <w:r>
              <w:rPr>
                <w:rFonts w:hint="eastAsia"/>
                <w:sz w:val="24"/>
                <w:szCs w:val="24"/>
              </w:rPr>
              <w:t>期数</w:t>
            </w:r>
          </w:p>
        </w:tc>
        <w:tc>
          <w:tcPr>
            <w:tcW w:w="1275" w:type="dxa"/>
            <w:vAlign w:val="center"/>
          </w:tcPr>
          <w:p w:rsidR="001E4202" w:rsidRPr="00DB3A37" w:rsidRDefault="001014D6">
            <w:pPr>
              <w:jc w:val="center"/>
              <w:rPr>
                <w:sz w:val="24"/>
                <w:szCs w:val="24"/>
              </w:rPr>
            </w:pPr>
            <w:r w:rsidRPr="00DB3A37">
              <w:rPr>
                <w:rFonts w:hint="eastAsia"/>
                <w:sz w:val="24"/>
                <w:szCs w:val="24"/>
              </w:rPr>
              <w:t>0</w:t>
            </w:r>
          </w:p>
        </w:tc>
        <w:tc>
          <w:tcPr>
            <w:tcW w:w="1065" w:type="dxa"/>
            <w:vAlign w:val="center"/>
          </w:tcPr>
          <w:p w:rsidR="001E4202" w:rsidRPr="00DB3A37" w:rsidRDefault="001014D6">
            <w:pPr>
              <w:jc w:val="center"/>
              <w:rPr>
                <w:sz w:val="24"/>
                <w:szCs w:val="24"/>
              </w:rPr>
            </w:pPr>
            <w:r w:rsidRPr="00DB3A37">
              <w:rPr>
                <w:rFonts w:hint="eastAsia"/>
                <w:sz w:val="24"/>
                <w:szCs w:val="24"/>
              </w:rPr>
              <w:t>77</w:t>
            </w:r>
          </w:p>
        </w:tc>
        <w:tc>
          <w:tcPr>
            <w:tcW w:w="1305" w:type="dxa"/>
            <w:vAlign w:val="center"/>
          </w:tcPr>
          <w:p w:rsidR="001E4202" w:rsidRPr="00DB3A37" w:rsidRDefault="001014D6">
            <w:pPr>
              <w:jc w:val="center"/>
              <w:rPr>
                <w:sz w:val="24"/>
                <w:szCs w:val="24"/>
              </w:rPr>
            </w:pPr>
            <w:r w:rsidRPr="00DB3A37">
              <w:rPr>
                <w:rFonts w:hint="eastAsia"/>
                <w:sz w:val="24"/>
                <w:szCs w:val="24"/>
              </w:rPr>
              <w:t>7</w:t>
            </w:r>
          </w:p>
        </w:tc>
        <w:tc>
          <w:tcPr>
            <w:tcW w:w="1305" w:type="dxa"/>
            <w:vAlign w:val="center"/>
          </w:tcPr>
          <w:p w:rsidR="001E4202" w:rsidRPr="00DB3A37" w:rsidRDefault="001014D6">
            <w:pPr>
              <w:jc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84</w:t>
            </w:r>
          </w:p>
        </w:tc>
      </w:tr>
      <w:tr w:rsidR="001E4202">
        <w:tc>
          <w:tcPr>
            <w:tcW w:w="924" w:type="dxa"/>
            <w:vMerge/>
            <w:vAlign w:val="center"/>
          </w:tcPr>
          <w:p w:rsidR="001E4202" w:rsidRDefault="001E4202">
            <w:pPr>
              <w:jc w:val="center"/>
              <w:rPr>
                <w:b/>
                <w:bCs/>
                <w:sz w:val="24"/>
                <w:szCs w:val="24"/>
              </w:rPr>
            </w:pPr>
          </w:p>
        </w:tc>
        <w:tc>
          <w:tcPr>
            <w:tcW w:w="1500" w:type="dxa"/>
            <w:vAlign w:val="center"/>
          </w:tcPr>
          <w:p w:rsidR="001E4202" w:rsidRPr="00DB3A37" w:rsidRDefault="001014D6">
            <w:pPr>
              <w:jc w:val="center"/>
              <w:rPr>
                <w:sz w:val="24"/>
                <w:szCs w:val="24"/>
              </w:rPr>
            </w:pPr>
            <w:r>
              <w:rPr>
                <w:rFonts w:hint="eastAsia"/>
                <w:sz w:val="24"/>
                <w:szCs w:val="24"/>
              </w:rPr>
              <w:t>募集金额</w:t>
            </w:r>
            <w:r w:rsidRPr="00DB3A37">
              <w:rPr>
                <w:rFonts w:hint="eastAsia"/>
                <w:sz w:val="24"/>
                <w:szCs w:val="24"/>
              </w:rPr>
              <w:t>(万)</w:t>
            </w:r>
          </w:p>
        </w:tc>
        <w:tc>
          <w:tcPr>
            <w:tcW w:w="1275" w:type="dxa"/>
            <w:vAlign w:val="center"/>
          </w:tcPr>
          <w:p w:rsidR="001E4202" w:rsidRPr="00DB3A37" w:rsidRDefault="001014D6">
            <w:pPr>
              <w:jc w:val="center"/>
              <w:rPr>
                <w:sz w:val="24"/>
                <w:szCs w:val="24"/>
              </w:rPr>
            </w:pPr>
            <w:r w:rsidRPr="00DB3A37">
              <w:rPr>
                <w:rFonts w:hint="eastAsia"/>
                <w:sz w:val="24"/>
                <w:szCs w:val="24"/>
              </w:rPr>
              <w:t>0</w:t>
            </w:r>
          </w:p>
        </w:tc>
        <w:tc>
          <w:tcPr>
            <w:tcW w:w="1065" w:type="dxa"/>
            <w:vAlign w:val="center"/>
          </w:tcPr>
          <w:p w:rsidR="001E4202" w:rsidRPr="00DB3A37" w:rsidRDefault="001014D6">
            <w:pPr>
              <w:jc w:val="center"/>
              <w:rPr>
                <w:sz w:val="24"/>
                <w:szCs w:val="24"/>
              </w:rPr>
            </w:pPr>
            <w:r w:rsidRPr="00DB3A37">
              <w:rPr>
                <w:rFonts w:hint="eastAsia"/>
                <w:sz w:val="24"/>
                <w:szCs w:val="24"/>
              </w:rPr>
              <w:t>849,372</w:t>
            </w:r>
          </w:p>
        </w:tc>
        <w:tc>
          <w:tcPr>
            <w:tcW w:w="1305" w:type="dxa"/>
            <w:vAlign w:val="center"/>
          </w:tcPr>
          <w:p w:rsidR="001E4202" w:rsidRPr="00DB3A37" w:rsidRDefault="001014D6">
            <w:pPr>
              <w:jc w:val="center"/>
              <w:rPr>
                <w:sz w:val="24"/>
                <w:szCs w:val="24"/>
              </w:rPr>
            </w:pPr>
            <w:r w:rsidRPr="00DB3A37">
              <w:rPr>
                <w:rFonts w:hint="eastAsia"/>
                <w:sz w:val="24"/>
                <w:szCs w:val="24"/>
              </w:rPr>
              <w:t>93,742</w:t>
            </w:r>
          </w:p>
        </w:tc>
        <w:tc>
          <w:tcPr>
            <w:tcW w:w="1305" w:type="dxa"/>
            <w:vAlign w:val="center"/>
          </w:tcPr>
          <w:p w:rsidR="001E4202" w:rsidRPr="00DB3A37" w:rsidRDefault="001014D6">
            <w:pPr>
              <w:jc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943,114</w:t>
            </w:r>
          </w:p>
        </w:tc>
      </w:tr>
      <w:tr w:rsidR="001E4202">
        <w:tc>
          <w:tcPr>
            <w:tcW w:w="924" w:type="dxa"/>
            <w:vMerge/>
            <w:vAlign w:val="center"/>
          </w:tcPr>
          <w:p w:rsidR="001E4202" w:rsidRDefault="001E4202">
            <w:pPr>
              <w:jc w:val="center"/>
              <w:rPr>
                <w:b/>
                <w:bCs/>
                <w:sz w:val="24"/>
                <w:szCs w:val="24"/>
              </w:rPr>
            </w:pPr>
          </w:p>
        </w:tc>
        <w:tc>
          <w:tcPr>
            <w:tcW w:w="1500" w:type="dxa"/>
            <w:vAlign w:val="center"/>
          </w:tcPr>
          <w:p w:rsidR="001E4202" w:rsidRPr="00DB3A37" w:rsidRDefault="001014D6">
            <w:pPr>
              <w:jc w:val="center"/>
              <w:rPr>
                <w:sz w:val="24"/>
                <w:szCs w:val="24"/>
              </w:rPr>
            </w:pPr>
            <w:r>
              <w:rPr>
                <w:rFonts w:hint="eastAsia"/>
                <w:sz w:val="24"/>
                <w:szCs w:val="24"/>
              </w:rPr>
              <w:t>金额占比</w:t>
            </w:r>
          </w:p>
        </w:tc>
        <w:tc>
          <w:tcPr>
            <w:tcW w:w="1275" w:type="dxa"/>
            <w:vAlign w:val="center"/>
          </w:tcPr>
          <w:p w:rsidR="001E4202" w:rsidRDefault="001014D6">
            <w:pPr>
              <w:jc w:val="center"/>
              <w:textAlignment w:val="center"/>
              <w:rPr>
                <w:sz w:val="24"/>
                <w:szCs w:val="24"/>
              </w:rPr>
            </w:pPr>
            <w:r w:rsidRPr="00DB3A37">
              <w:rPr>
                <w:rFonts w:hint="eastAsia"/>
                <w:sz w:val="24"/>
                <w:szCs w:val="24"/>
              </w:rPr>
              <w:t>0</w:t>
            </w:r>
            <w:r w:rsidRPr="00DB3A37">
              <w:rPr>
                <w:sz w:val="24"/>
                <w:szCs w:val="24"/>
              </w:rPr>
              <w:t>%</w:t>
            </w:r>
          </w:p>
        </w:tc>
        <w:tc>
          <w:tcPr>
            <w:tcW w:w="1065" w:type="dxa"/>
            <w:vAlign w:val="center"/>
          </w:tcPr>
          <w:p w:rsidR="001E4202" w:rsidRDefault="001014D6">
            <w:pPr>
              <w:jc w:val="center"/>
              <w:textAlignment w:val="center"/>
              <w:rPr>
                <w:sz w:val="24"/>
                <w:szCs w:val="24"/>
              </w:rPr>
            </w:pPr>
            <w:r w:rsidRPr="00DB3A37">
              <w:rPr>
                <w:rFonts w:hint="eastAsia"/>
                <w:sz w:val="24"/>
                <w:szCs w:val="24"/>
              </w:rPr>
              <w:t>90.06</w:t>
            </w:r>
            <w:r w:rsidRPr="00DB3A37">
              <w:rPr>
                <w:sz w:val="24"/>
                <w:szCs w:val="24"/>
              </w:rPr>
              <w:t>%</w:t>
            </w:r>
          </w:p>
        </w:tc>
        <w:tc>
          <w:tcPr>
            <w:tcW w:w="1305" w:type="dxa"/>
            <w:vAlign w:val="center"/>
          </w:tcPr>
          <w:p w:rsidR="001E4202" w:rsidRDefault="001014D6">
            <w:pPr>
              <w:jc w:val="center"/>
              <w:textAlignment w:val="center"/>
              <w:rPr>
                <w:sz w:val="24"/>
                <w:szCs w:val="24"/>
              </w:rPr>
            </w:pPr>
            <w:r w:rsidRPr="00DB3A37">
              <w:rPr>
                <w:rFonts w:hint="eastAsia"/>
                <w:sz w:val="24"/>
                <w:szCs w:val="24"/>
              </w:rPr>
              <w:t>9.94</w:t>
            </w:r>
            <w:r w:rsidRPr="00DB3A37">
              <w:rPr>
                <w:sz w:val="24"/>
                <w:szCs w:val="24"/>
              </w:rPr>
              <w:t>%</w:t>
            </w:r>
          </w:p>
        </w:tc>
        <w:tc>
          <w:tcPr>
            <w:tcW w:w="1305" w:type="dxa"/>
            <w:vAlign w:val="center"/>
          </w:tcPr>
          <w:p w:rsidR="001E4202" w:rsidRPr="00DB3A37" w:rsidRDefault="001014D6">
            <w:pPr>
              <w:jc w:val="center"/>
              <w:textAlignment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100.00%</w:t>
            </w:r>
          </w:p>
        </w:tc>
      </w:tr>
    </w:tbl>
    <w:p w:rsidR="001E4202" w:rsidRDefault="001014D6">
      <w:pPr>
        <w:widowControl/>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理财产品到期情况</w:t>
      </w:r>
    </w:p>
    <w:p w:rsidR="001E4202" w:rsidRDefault="001014D6">
      <w:pPr>
        <w:widowControl/>
        <w:spacing w:line="560" w:lineRule="exact"/>
        <w:ind w:firstLineChars="200" w:firstLine="640"/>
        <w:rPr>
          <w:rFonts w:ascii="Times New Roman" w:hAnsi="Times New Roman" w:cs="Times New Roman"/>
          <w:bCs/>
          <w:sz w:val="32"/>
          <w:szCs w:val="32"/>
          <w:lang w:val="en-US"/>
        </w:rPr>
      </w:pPr>
      <w:r>
        <w:rPr>
          <w:rFonts w:hint="eastAsia"/>
          <w:bCs/>
          <w:sz w:val="32"/>
          <w:szCs w:val="32"/>
        </w:rPr>
        <w:t>截止2019年6月30日，</w:t>
      </w:r>
      <w:r>
        <w:rPr>
          <w:rFonts w:ascii="Times New Roman" w:hAnsi="Times New Roman" w:cs="Times New Roman" w:hint="eastAsia"/>
          <w:bCs/>
          <w:sz w:val="32"/>
          <w:szCs w:val="32"/>
          <w:lang w:val="en-US"/>
        </w:rPr>
        <w:t>共</w:t>
      </w:r>
      <w:r>
        <w:rPr>
          <w:rFonts w:hint="eastAsia"/>
          <w:bCs/>
          <w:sz w:val="32"/>
          <w:szCs w:val="32"/>
        </w:rPr>
        <w:t>兑付理财产</w:t>
      </w:r>
      <w:r>
        <w:rPr>
          <w:rFonts w:ascii="Times New Roman" w:hAnsi="Times New Roman" w:cs="Times New Roman" w:hint="eastAsia"/>
          <w:bCs/>
          <w:sz w:val="32"/>
          <w:szCs w:val="32"/>
          <w:lang w:val="en-US"/>
        </w:rPr>
        <w:t>品</w:t>
      </w:r>
      <w:r>
        <w:rPr>
          <w:rFonts w:ascii="Times New Roman" w:hAnsi="Times New Roman" w:cs="Times New Roman" w:hint="eastAsia"/>
          <w:bCs/>
          <w:sz w:val="32"/>
          <w:szCs w:val="32"/>
          <w:lang w:val="en-US"/>
        </w:rPr>
        <w:t>56</w:t>
      </w:r>
      <w:r>
        <w:rPr>
          <w:rFonts w:ascii="Times New Roman" w:hAnsi="Times New Roman" w:cs="Times New Roman" w:hint="eastAsia"/>
          <w:bCs/>
          <w:sz w:val="32"/>
          <w:szCs w:val="32"/>
          <w:lang w:val="en-US"/>
        </w:rPr>
        <w:t>期</w:t>
      </w:r>
      <w:r>
        <w:rPr>
          <w:rFonts w:hint="eastAsia"/>
          <w:bCs/>
          <w:sz w:val="32"/>
          <w:szCs w:val="32"/>
          <w:lang w:val="en-US"/>
        </w:rPr>
        <w:t>，</w:t>
      </w:r>
      <w:r>
        <w:rPr>
          <w:rFonts w:hint="eastAsia"/>
          <w:bCs/>
          <w:sz w:val="32"/>
          <w:szCs w:val="32"/>
        </w:rPr>
        <w:t>兑付理财本金</w:t>
      </w:r>
      <w:r>
        <w:rPr>
          <w:rFonts w:ascii="Times New Roman" w:hAnsi="Times New Roman" w:cs="Times New Roman" w:hint="eastAsia"/>
          <w:bCs/>
          <w:sz w:val="32"/>
          <w:szCs w:val="32"/>
          <w:lang w:val="en-US"/>
        </w:rPr>
        <w:t>561,591</w:t>
      </w:r>
      <w:r>
        <w:rPr>
          <w:rFonts w:ascii="Times New Roman" w:hAnsi="Times New Roman" w:cs="Times New Roman"/>
          <w:bCs/>
          <w:sz w:val="32"/>
          <w:szCs w:val="32"/>
          <w:lang w:val="en-US"/>
        </w:rPr>
        <w:t>万</w:t>
      </w:r>
      <w:r>
        <w:rPr>
          <w:rFonts w:ascii="Times New Roman" w:hAnsi="Times New Roman" w:cs="Times New Roman"/>
          <w:bCs/>
          <w:sz w:val="32"/>
          <w:szCs w:val="32"/>
        </w:rPr>
        <w:t>元</w:t>
      </w:r>
      <w:r>
        <w:rPr>
          <w:rFonts w:hint="eastAsia"/>
          <w:bCs/>
          <w:sz w:val="32"/>
          <w:szCs w:val="32"/>
        </w:rPr>
        <w:t>，兑付客户投资收益</w:t>
      </w:r>
      <w:r>
        <w:rPr>
          <w:rFonts w:ascii="Times New Roman" w:hAnsi="Times New Roman" w:cs="Times New Roman" w:hint="eastAsia"/>
          <w:bCs/>
          <w:sz w:val="32"/>
          <w:szCs w:val="32"/>
          <w:lang w:val="en-US"/>
        </w:rPr>
        <w:t>19</w:t>
      </w:r>
      <w:r w:rsidR="001E7AB9">
        <w:rPr>
          <w:rFonts w:ascii="Times New Roman" w:hAnsi="Times New Roman" w:cs="Times New Roman" w:hint="eastAsia"/>
          <w:bCs/>
          <w:sz w:val="32"/>
          <w:szCs w:val="32"/>
          <w:lang w:val="en-US"/>
        </w:rPr>
        <w:t>，</w:t>
      </w:r>
      <w:r>
        <w:rPr>
          <w:rFonts w:ascii="Times New Roman" w:hAnsi="Times New Roman" w:cs="Times New Roman" w:hint="eastAsia"/>
          <w:bCs/>
          <w:sz w:val="32"/>
          <w:szCs w:val="32"/>
          <w:lang w:val="en-US"/>
        </w:rPr>
        <w:t>209</w:t>
      </w:r>
      <w:r w:rsidR="001E7AB9">
        <w:rPr>
          <w:rFonts w:ascii="Times New Roman" w:hAnsi="Times New Roman" w:cs="Times New Roman" w:hint="eastAsia"/>
          <w:bCs/>
          <w:sz w:val="32"/>
          <w:szCs w:val="32"/>
          <w:lang w:val="en-US"/>
        </w:rPr>
        <w:t>.</w:t>
      </w:r>
      <w:r>
        <w:rPr>
          <w:rFonts w:ascii="Times New Roman" w:hAnsi="Times New Roman" w:cs="Times New Roman" w:hint="eastAsia"/>
          <w:bCs/>
          <w:sz w:val="32"/>
          <w:szCs w:val="32"/>
          <w:lang w:val="en-US"/>
        </w:rPr>
        <w:t>53</w:t>
      </w:r>
      <w:r>
        <w:rPr>
          <w:rFonts w:hint="eastAsia"/>
          <w:bCs/>
          <w:sz w:val="32"/>
          <w:szCs w:val="32"/>
        </w:rPr>
        <w:t>万元</w:t>
      </w:r>
      <w:r>
        <w:rPr>
          <w:rFonts w:hint="eastAsia"/>
          <w:bCs/>
          <w:sz w:val="32"/>
          <w:szCs w:val="32"/>
          <w:lang w:val="en-US"/>
        </w:rPr>
        <w:t>。到期理财产品均达公告业绩基准，并按照产品说明书的约定按时兑付</w:t>
      </w:r>
      <w:r>
        <w:rPr>
          <w:rFonts w:ascii="Times New Roman" w:hAnsi="Times New Roman" w:cs="Times New Roman"/>
          <w:bCs/>
          <w:sz w:val="32"/>
          <w:szCs w:val="32"/>
          <w:lang w:val="en-US"/>
        </w:rPr>
        <w:t>。</w:t>
      </w:r>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5"/>
        <w:gridCol w:w="1457"/>
        <w:gridCol w:w="1543"/>
        <w:gridCol w:w="1765"/>
        <w:gridCol w:w="1611"/>
        <w:gridCol w:w="1701"/>
        <w:gridCol w:w="1559"/>
      </w:tblGrid>
      <w:tr w:rsidR="001E4202">
        <w:trPr>
          <w:jc w:val="center"/>
        </w:trPr>
        <w:tc>
          <w:tcPr>
            <w:tcW w:w="2242" w:type="dxa"/>
            <w:gridSpan w:val="2"/>
            <w:tcBorders>
              <w:top w:val="single" w:sz="4" w:space="0" w:color="auto"/>
              <w:left w:val="single" w:sz="4" w:space="0" w:color="auto"/>
            </w:tcBorders>
            <w:vAlign w:val="center"/>
          </w:tcPr>
          <w:p w:rsidR="001E4202" w:rsidRDefault="001E4202">
            <w:pPr>
              <w:jc w:val="center"/>
              <w:rPr>
                <w:sz w:val="24"/>
                <w:szCs w:val="24"/>
              </w:rPr>
            </w:pPr>
          </w:p>
        </w:tc>
        <w:tc>
          <w:tcPr>
            <w:tcW w:w="1543" w:type="dxa"/>
            <w:tcBorders>
              <w:top w:val="single" w:sz="4" w:space="0" w:color="auto"/>
            </w:tcBorders>
            <w:vAlign w:val="center"/>
          </w:tcPr>
          <w:p w:rsidR="001E4202" w:rsidRDefault="001014D6">
            <w:pPr>
              <w:jc w:val="center"/>
              <w:rPr>
                <w:rFonts w:eastAsia="宋体"/>
                <w:b/>
                <w:bCs/>
                <w:sz w:val="24"/>
                <w:szCs w:val="24"/>
                <w:lang w:val="en-US"/>
              </w:rPr>
            </w:pPr>
            <w:r>
              <w:rPr>
                <w:rFonts w:hint="eastAsia"/>
                <w:b/>
                <w:bCs/>
                <w:sz w:val="24"/>
                <w:szCs w:val="24"/>
                <w:lang w:val="en-US"/>
              </w:rPr>
              <w:t>净值型      本金</w:t>
            </w:r>
          </w:p>
        </w:tc>
        <w:tc>
          <w:tcPr>
            <w:tcW w:w="1765" w:type="dxa"/>
            <w:tcBorders>
              <w:top w:val="single" w:sz="4" w:space="0" w:color="auto"/>
            </w:tcBorders>
            <w:vAlign w:val="center"/>
          </w:tcPr>
          <w:p w:rsidR="001E4202" w:rsidRDefault="001014D6">
            <w:pPr>
              <w:jc w:val="center"/>
              <w:rPr>
                <w:rFonts w:eastAsia="宋体"/>
                <w:b/>
                <w:bCs/>
                <w:sz w:val="24"/>
                <w:szCs w:val="24"/>
                <w:lang w:val="en-US"/>
              </w:rPr>
            </w:pPr>
            <w:r>
              <w:rPr>
                <w:rFonts w:hint="eastAsia"/>
                <w:b/>
                <w:bCs/>
                <w:sz w:val="24"/>
                <w:szCs w:val="24"/>
                <w:lang w:val="en-US"/>
              </w:rPr>
              <w:t>净值型             投资收益</w:t>
            </w:r>
          </w:p>
        </w:tc>
        <w:tc>
          <w:tcPr>
            <w:tcW w:w="1611" w:type="dxa"/>
            <w:tcBorders>
              <w:top w:val="single" w:sz="4" w:space="0" w:color="auto"/>
            </w:tcBorders>
            <w:vAlign w:val="center"/>
          </w:tcPr>
          <w:p w:rsidR="001E4202" w:rsidRDefault="001014D6">
            <w:pPr>
              <w:jc w:val="center"/>
              <w:rPr>
                <w:rFonts w:eastAsia="宋体"/>
                <w:b/>
                <w:bCs/>
                <w:sz w:val="24"/>
                <w:szCs w:val="24"/>
                <w:lang w:val="en-US"/>
              </w:rPr>
            </w:pPr>
            <w:r>
              <w:rPr>
                <w:rFonts w:hint="eastAsia"/>
                <w:b/>
                <w:bCs/>
                <w:sz w:val="24"/>
                <w:szCs w:val="24"/>
                <w:lang w:val="en-US"/>
              </w:rPr>
              <w:t>非净值型      本金</w:t>
            </w:r>
          </w:p>
        </w:tc>
        <w:tc>
          <w:tcPr>
            <w:tcW w:w="1701" w:type="dxa"/>
            <w:tcBorders>
              <w:top w:val="single" w:sz="4" w:space="0" w:color="auto"/>
            </w:tcBorders>
          </w:tcPr>
          <w:p w:rsidR="001E4202" w:rsidRDefault="001014D6">
            <w:pPr>
              <w:jc w:val="center"/>
              <w:rPr>
                <w:b/>
                <w:bCs/>
                <w:sz w:val="24"/>
                <w:szCs w:val="24"/>
                <w:lang w:val="en-US"/>
              </w:rPr>
            </w:pPr>
            <w:r>
              <w:rPr>
                <w:rFonts w:hint="eastAsia"/>
                <w:b/>
                <w:bCs/>
                <w:sz w:val="24"/>
                <w:szCs w:val="24"/>
                <w:lang w:val="en-US"/>
              </w:rPr>
              <w:t>非净值型      投资收益</w:t>
            </w:r>
          </w:p>
        </w:tc>
        <w:tc>
          <w:tcPr>
            <w:tcW w:w="1559" w:type="dxa"/>
            <w:tcBorders>
              <w:top w:val="single" w:sz="4" w:space="0" w:color="auto"/>
              <w:right w:val="single" w:sz="4" w:space="0" w:color="auto"/>
            </w:tcBorders>
            <w:vAlign w:val="center"/>
          </w:tcPr>
          <w:p w:rsidR="001E4202" w:rsidRDefault="001014D6">
            <w:pPr>
              <w:rPr>
                <w:b/>
                <w:bCs/>
                <w:sz w:val="24"/>
                <w:szCs w:val="24"/>
                <w:lang w:val="en-US"/>
              </w:rPr>
            </w:pPr>
            <w:r>
              <w:rPr>
                <w:rFonts w:hint="eastAsia"/>
                <w:b/>
                <w:bCs/>
                <w:sz w:val="24"/>
                <w:szCs w:val="24"/>
                <w:lang w:val="en-US"/>
              </w:rPr>
              <w:t xml:space="preserve">   兑付合计</w:t>
            </w:r>
          </w:p>
        </w:tc>
      </w:tr>
      <w:tr w:rsidR="001E4202">
        <w:trPr>
          <w:jc w:val="center"/>
        </w:trPr>
        <w:tc>
          <w:tcPr>
            <w:tcW w:w="785" w:type="dxa"/>
            <w:vMerge w:val="restart"/>
            <w:tcBorders>
              <w:left w:val="single" w:sz="4" w:space="0" w:color="auto"/>
            </w:tcBorders>
            <w:vAlign w:val="center"/>
          </w:tcPr>
          <w:p w:rsidR="001E4202" w:rsidRDefault="001014D6">
            <w:pPr>
              <w:jc w:val="center"/>
              <w:rPr>
                <w:rFonts w:eastAsia="宋体"/>
                <w:b/>
                <w:bCs/>
                <w:sz w:val="24"/>
                <w:szCs w:val="24"/>
                <w:lang w:val="en-US"/>
              </w:rPr>
            </w:pPr>
            <w:r>
              <w:rPr>
                <w:rFonts w:eastAsia="宋体" w:hint="eastAsia"/>
                <w:b/>
                <w:bCs/>
                <w:sz w:val="24"/>
                <w:szCs w:val="24"/>
                <w:lang w:val="en-US"/>
              </w:rPr>
              <w:t>2019</w:t>
            </w:r>
            <w:r>
              <w:rPr>
                <w:rFonts w:eastAsia="宋体" w:hint="eastAsia"/>
                <w:b/>
                <w:bCs/>
                <w:sz w:val="24"/>
                <w:szCs w:val="24"/>
                <w:lang w:val="en-US"/>
              </w:rPr>
              <w:t>年上半年</w:t>
            </w:r>
          </w:p>
        </w:tc>
        <w:tc>
          <w:tcPr>
            <w:tcW w:w="1457" w:type="dxa"/>
            <w:vAlign w:val="center"/>
          </w:tcPr>
          <w:p w:rsidR="001E4202" w:rsidRPr="00DB3A37" w:rsidRDefault="001014D6">
            <w:pPr>
              <w:jc w:val="center"/>
              <w:rPr>
                <w:sz w:val="24"/>
                <w:szCs w:val="24"/>
              </w:rPr>
            </w:pPr>
            <w:r>
              <w:rPr>
                <w:rFonts w:hint="eastAsia"/>
                <w:sz w:val="24"/>
                <w:szCs w:val="24"/>
              </w:rPr>
              <w:t>期数</w:t>
            </w:r>
          </w:p>
        </w:tc>
        <w:tc>
          <w:tcPr>
            <w:tcW w:w="1543" w:type="dxa"/>
            <w:vAlign w:val="center"/>
          </w:tcPr>
          <w:p w:rsidR="001E4202" w:rsidRPr="00DB3A37" w:rsidRDefault="001014D6">
            <w:pPr>
              <w:jc w:val="center"/>
              <w:rPr>
                <w:sz w:val="24"/>
                <w:szCs w:val="24"/>
              </w:rPr>
            </w:pPr>
            <w:r w:rsidRPr="00DB3A37">
              <w:rPr>
                <w:rFonts w:hint="eastAsia"/>
                <w:sz w:val="24"/>
                <w:szCs w:val="24"/>
              </w:rPr>
              <w:t>1</w:t>
            </w:r>
          </w:p>
        </w:tc>
        <w:tc>
          <w:tcPr>
            <w:tcW w:w="1765" w:type="dxa"/>
            <w:vAlign w:val="center"/>
          </w:tcPr>
          <w:p w:rsidR="001E4202" w:rsidRPr="00DB3A37" w:rsidRDefault="001014D6">
            <w:pPr>
              <w:jc w:val="center"/>
              <w:rPr>
                <w:sz w:val="24"/>
                <w:szCs w:val="24"/>
              </w:rPr>
            </w:pPr>
            <w:r w:rsidRPr="00DB3A37">
              <w:rPr>
                <w:rFonts w:hint="eastAsia"/>
                <w:sz w:val="24"/>
                <w:szCs w:val="24"/>
              </w:rPr>
              <w:t>1</w:t>
            </w:r>
          </w:p>
        </w:tc>
        <w:tc>
          <w:tcPr>
            <w:tcW w:w="1611" w:type="dxa"/>
            <w:vAlign w:val="center"/>
          </w:tcPr>
          <w:p w:rsidR="001E4202" w:rsidRPr="00DB3A37" w:rsidRDefault="001014D6">
            <w:pPr>
              <w:jc w:val="center"/>
              <w:rPr>
                <w:sz w:val="24"/>
                <w:szCs w:val="24"/>
              </w:rPr>
            </w:pPr>
            <w:r w:rsidRPr="00DB3A37">
              <w:rPr>
                <w:rFonts w:hint="eastAsia"/>
                <w:sz w:val="24"/>
                <w:szCs w:val="24"/>
              </w:rPr>
              <w:t>55</w:t>
            </w:r>
          </w:p>
        </w:tc>
        <w:tc>
          <w:tcPr>
            <w:tcW w:w="1701" w:type="dxa"/>
          </w:tcPr>
          <w:p w:rsidR="001E4202" w:rsidRPr="00DB3A37" w:rsidRDefault="001014D6">
            <w:pPr>
              <w:jc w:val="center"/>
              <w:rPr>
                <w:sz w:val="24"/>
                <w:szCs w:val="24"/>
              </w:rPr>
            </w:pPr>
            <w:r w:rsidRPr="00DB3A37">
              <w:rPr>
                <w:rFonts w:hint="eastAsia"/>
                <w:sz w:val="24"/>
                <w:szCs w:val="24"/>
              </w:rPr>
              <w:t>55</w:t>
            </w:r>
          </w:p>
        </w:tc>
        <w:tc>
          <w:tcPr>
            <w:tcW w:w="1559"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56</w:t>
            </w:r>
          </w:p>
        </w:tc>
      </w:tr>
      <w:tr w:rsidR="001E4202">
        <w:trPr>
          <w:jc w:val="center"/>
        </w:trPr>
        <w:tc>
          <w:tcPr>
            <w:tcW w:w="785" w:type="dxa"/>
            <w:vMerge/>
            <w:tcBorders>
              <w:left w:val="single" w:sz="4" w:space="0" w:color="auto"/>
            </w:tcBorders>
            <w:vAlign w:val="center"/>
          </w:tcPr>
          <w:p w:rsidR="001E4202" w:rsidRDefault="001E4202">
            <w:pPr>
              <w:jc w:val="center"/>
              <w:rPr>
                <w:b/>
                <w:bCs/>
                <w:sz w:val="24"/>
                <w:szCs w:val="24"/>
              </w:rPr>
            </w:pPr>
          </w:p>
        </w:tc>
        <w:tc>
          <w:tcPr>
            <w:tcW w:w="1457" w:type="dxa"/>
            <w:vAlign w:val="center"/>
          </w:tcPr>
          <w:p w:rsidR="001E4202" w:rsidRPr="00DB3A37" w:rsidRDefault="001014D6">
            <w:pPr>
              <w:jc w:val="center"/>
              <w:rPr>
                <w:sz w:val="24"/>
                <w:szCs w:val="24"/>
              </w:rPr>
            </w:pPr>
            <w:r>
              <w:rPr>
                <w:rFonts w:hint="eastAsia"/>
                <w:sz w:val="24"/>
                <w:szCs w:val="24"/>
              </w:rPr>
              <w:t>兑付金额</w:t>
            </w:r>
            <w:r w:rsidRPr="00DB3A37">
              <w:rPr>
                <w:rFonts w:hint="eastAsia"/>
                <w:sz w:val="24"/>
                <w:szCs w:val="24"/>
              </w:rPr>
              <w:t>(万)</w:t>
            </w:r>
          </w:p>
        </w:tc>
        <w:tc>
          <w:tcPr>
            <w:tcW w:w="1543" w:type="dxa"/>
            <w:vAlign w:val="center"/>
          </w:tcPr>
          <w:p w:rsidR="001E4202" w:rsidRPr="00DB3A37" w:rsidRDefault="001014D6">
            <w:pPr>
              <w:jc w:val="center"/>
              <w:rPr>
                <w:sz w:val="24"/>
                <w:szCs w:val="24"/>
              </w:rPr>
            </w:pPr>
            <w:r w:rsidRPr="00DB3A37">
              <w:rPr>
                <w:rFonts w:hint="eastAsia"/>
                <w:sz w:val="24"/>
                <w:szCs w:val="24"/>
              </w:rPr>
              <w:t>6,224</w:t>
            </w:r>
          </w:p>
        </w:tc>
        <w:tc>
          <w:tcPr>
            <w:tcW w:w="1765" w:type="dxa"/>
            <w:vAlign w:val="center"/>
          </w:tcPr>
          <w:p w:rsidR="001E4202" w:rsidRPr="00DB3A37" w:rsidRDefault="001014D6">
            <w:pPr>
              <w:jc w:val="center"/>
              <w:rPr>
                <w:sz w:val="24"/>
                <w:szCs w:val="24"/>
              </w:rPr>
            </w:pPr>
            <w:r w:rsidRPr="00DB3A37">
              <w:rPr>
                <w:rFonts w:hint="eastAsia"/>
                <w:sz w:val="24"/>
                <w:szCs w:val="24"/>
              </w:rPr>
              <w:t>107.43</w:t>
            </w:r>
          </w:p>
        </w:tc>
        <w:tc>
          <w:tcPr>
            <w:tcW w:w="1611" w:type="dxa"/>
            <w:vAlign w:val="center"/>
          </w:tcPr>
          <w:p w:rsidR="001E4202" w:rsidRPr="00DB3A37" w:rsidRDefault="001014D6">
            <w:pPr>
              <w:jc w:val="center"/>
              <w:rPr>
                <w:sz w:val="24"/>
                <w:szCs w:val="24"/>
              </w:rPr>
            </w:pPr>
            <w:r w:rsidRPr="00DB3A37">
              <w:rPr>
                <w:rFonts w:hint="eastAsia"/>
                <w:sz w:val="24"/>
                <w:szCs w:val="24"/>
              </w:rPr>
              <w:t>555,367</w:t>
            </w:r>
          </w:p>
        </w:tc>
        <w:tc>
          <w:tcPr>
            <w:tcW w:w="1701" w:type="dxa"/>
          </w:tcPr>
          <w:p w:rsidR="001E4202" w:rsidRPr="00DB3A37" w:rsidRDefault="001014D6">
            <w:pPr>
              <w:jc w:val="center"/>
              <w:rPr>
                <w:sz w:val="24"/>
                <w:szCs w:val="24"/>
              </w:rPr>
            </w:pPr>
            <w:r w:rsidRPr="00DB3A37">
              <w:rPr>
                <w:rFonts w:hint="eastAsia"/>
                <w:sz w:val="24"/>
                <w:szCs w:val="24"/>
              </w:rPr>
              <w:t>19102.1</w:t>
            </w:r>
          </w:p>
        </w:tc>
        <w:tc>
          <w:tcPr>
            <w:tcW w:w="1559"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580800.53</w:t>
            </w:r>
          </w:p>
        </w:tc>
      </w:tr>
      <w:tr w:rsidR="001E4202">
        <w:trPr>
          <w:jc w:val="center"/>
        </w:trPr>
        <w:tc>
          <w:tcPr>
            <w:tcW w:w="785" w:type="dxa"/>
            <w:vMerge/>
            <w:tcBorders>
              <w:left w:val="single" w:sz="4" w:space="0" w:color="auto"/>
            </w:tcBorders>
            <w:vAlign w:val="center"/>
          </w:tcPr>
          <w:p w:rsidR="001E4202" w:rsidRDefault="001E4202">
            <w:pPr>
              <w:jc w:val="center"/>
              <w:rPr>
                <w:b/>
                <w:bCs/>
                <w:sz w:val="24"/>
                <w:szCs w:val="24"/>
              </w:rPr>
            </w:pPr>
          </w:p>
        </w:tc>
        <w:tc>
          <w:tcPr>
            <w:tcW w:w="1457" w:type="dxa"/>
            <w:tcBorders>
              <w:bottom w:val="single" w:sz="4" w:space="0" w:color="auto"/>
            </w:tcBorders>
            <w:vAlign w:val="center"/>
          </w:tcPr>
          <w:p w:rsidR="001E4202" w:rsidRPr="00DB3A37" w:rsidRDefault="001014D6">
            <w:pPr>
              <w:jc w:val="center"/>
              <w:rPr>
                <w:sz w:val="24"/>
                <w:szCs w:val="24"/>
              </w:rPr>
            </w:pPr>
            <w:r>
              <w:rPr>
                <w:rFonts w:hint="eastAsia"/>
                <w:sz w:val="24"/>
                <w:szCs w:val="24"/>
              </w:rPr>
              <w:t>金额占比</w:t>
            </w:r>
          </w:p>
        </w:tc>
        <w:tc>
          <w:tcPr>
            <w:tcW w:w="1543"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1.11</w:t>
            </w:r>
            <w:r w:rsidRPr="00DB3A37">
              <w:rPr>
                <w:sz w:val="24"/>
                <w:szCs w:val="24"/>
              </w:rPr>
              <w:t>%</w:t>
            </w:r>
          </w:p>
        </w:tc>
        <w:tc>
          <w:tcPr>
            <w:tcW w:w="1765"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0.56</w:t>
            </w:r>
            <w:r w:rsidRPr="00DB3A37">
              <w:rPr>
                <w:sz w:val="24"/>
                <w:szCs w:val="24"/>
              </w:rPr>
              <w:t>%</w:t>
            </w:r>
          </w:p>
        </w:tc>
        <w:tc>
          <w:tcPr>
            <w:tcW w:w="1611"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98.89</w:t>
            </w:r>
            <w:r w:rsidRPr="00DB3A37">
              <w:rPr>
                <w:sz w:val="24"/>
                <w:szCs w:val="24"/>
              </w:rPr>
              <w:t>%</w:t>
            </w:r>
          </w:p>
        </w:tc>
        <w:tc>
          <w:tcPr>
            <w:tcW w:w="1701" w:type="dxa"/>
            <w:tcBorders>
              <w:bottom w:val="single" w:sz="4" w:space="0" w:color="auto"/>
            </w:tcBorders>
          </w:tcPr>
          <w:p w:rsidR="001E4202" w:rsidRPr="00DB3A37" w:rsidRDefault="001014D6">
            <w:pPr>
              <w:jc w:val="center"/>
              <w:textAlignment w:val="center"/>
              <w:rPr>
                <w:sz w:val="24"/>
                <w:szCs w:val="24"/>
              </w:rPr>
            </w:pPr>
            <w:r w:rsidRPr="00DB3A37">
              <w:rPr>
                <w:rFonts w:hint="eastAsia"/>
                <w:sz w:val="24"/>
                <w:szCs w:val="24"/>
              </w:rPr>
              <w:t>99.44%</w:t>
            </w:r>
          </w:p>
        </w:tc>
        <w:tc>
          <w:tcPr>
            <w:tcW w:w="1559" w:type="dxa"/>
            <w:tcBorders>
              <w:bottom w:val="single" w:sz="4" w:space="0" w:color="auto"/>
              <w:right w:val="single" w:sz="4" w:space="0" w:color="auto"/>
            </w:tcBorders>
            <w:vAlign w:val="center"/>
          </w:tcPr>
          <w:p w:rsidR="001E4202" w:rsidRPr="00DB3A37" w:rsidRDefault="001014D6">
            <w:pPr>
              <w:jc w:val="center"/>
              <w:textAlignment w:val="center"/>
              <w:rPr>
                <w:sz w:val="24"/>
                <w:szCs w:val="24"/>
              </w:rPr>
            </w:pPr>
            <w:r w:rsidRPr="00DB3A37">
              <w:rPr>
                <w:rFonts w:hint="eastAsia"/>
                <w:sz w:val="24"/>
                <w:szCs w:val="24"/>
              </w:rPr>
              <w:t>100.00%</w:t>
            </w:r>
          </w:p>
        </w:tc>
      </w:tr>
    </w:tbl>
    <w:p w:rsidR="001E4202" w:rsidRDefault="001014D6">
      <w:pPr>
        <w:widowControl/>
        <w:numPr>
          <w:ilvl w:val="0"/>
          <w:numId w:val="1"/>
        </w:num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理财产品存续情况</w:t>
      </w:r>
    </w:p>
    <w:p w:rsidR="001E4202" w:rsidRDefault="001014D6">
      <w:pPr>
        <w:widowControl/>
        <w:spacing w:line="560" w:lineRule="exact"/>
        <w:ind w:firstLineChars="200" w:firstLine="640"/>
        <w:rPr>
          <w:rFonts w:ascii="Times New Roman" w:hAnsi="Times New Roman" w:cs="Times New Roman"/>
          <w:bCs/>
          <w:sz w:val="32"/>
          <w:szCs w:val="32"/>
          <w:lang w:val="en-US"/>
        </w:rPr>
      </w:pPr>
      <w:r>
        <w:rPr>
          <w:rFonts w:hint="eastAsia"/>
          <w:bCs/>
          <w:sz w:val="32"/>
          <w:szCs w:val="32"/>
        </w:rPr>
        <w:t>截至</w:t>
      </w:r>
      <w:r>
        <w:rPr>
          <w:rFonts w:ascii="Times New Roman" w:hAnsi="Times New Roman" w:cs="Times New Roman" w:hint="eastAsia"/>
          <w:bCs/>
          <w:sz w:val="32"/>
          <w:szCs w:val="32"/>
          <w:lang w:val="en-US"/>
        </w:rPr>
        <w:t>2019</w:t>
      </w:r>
      <w:r>
        <w:rPr>
          <w:rFonts w:ascii="Times New Roman" w:hAnsi="Times New Roman" w:cs="Times New Roman" w:hint="eastAsia"/>
          <w:bCs/>
          <w:sz w:val="32"/>
          <w:szCs w:val="32"/>
          <w:lang w:val="en-US"/>
        </w:rPr>
        <w:t>年上半年</w:t>
      </w:r>
      <w:r>
        <w:rPr>
          <w:rFonts w:ascii="Times New Roman" w:hAnsi="Times New Roman" w:cs="Times New Roman" w:hint="eastAsia"/>
          <w:bCs/>
          <w:sz w:val="32"/>
          <w:szCs w:val="32"/>
          <w:lang w:val="en-US"/>
        </w:rPr>
        <w:t>6</w:t>
      </w:r>
      <w:r>
        <w:rPr>
          <w:rFonts w:ascii="Times New Roman" w:hAnsi="Times New Roman" w:cs="Times New Roman"/>
          <w:bCs/>
          <w:sz w:val="32"/>
          <w:szCs w:val="32"/>
        </w:rPr>
        <w:t>月</w:t>
      </w:r>
      <w:r>
        <w:rPr>
          <w:rFonts w:ascii="Times New Roman" w:hAnsi="Times New Roman" w:cs="Times New Roman" w:hint="eastAsia"/>
          <w:bCs/>
          <w:sz w:val="32"/>
          <w:szCs w:val="32"/>
          <w:lang w:val="en-US"/>
        </w:rPr>
        <w:t>30</w:t>
      </w:r>
      <w:r>
        <w:rPr>
          <w:rFonts w:ascii="Times New Roman" w:hAnsi="Times New Roman" w:cs="Times New Roman"/>
          <w:bCs/>
          <w:sz w:val="32"/>
          <w:szCs w:val="32"/>
        </w:rPr>
        <w:t>日，我行</w:t>
      </w:r>
      <w:r>
        <w:rPr>
          <w:rFonts w:ascii="Times New Roman" w:hAnsi="Times New Roman" w:cs="Times New Roman" w:hint="eastAsia"/>
          <w:bCs/>
          <w:sz w:val="32"/>
          <w:szCs w:val="32"/>
        </w:rPr>
        <w:t>存续理财产品</w:t>
      </w:r>
      <w:r>
        <w:rPr>
          <w:rFonts w:ascii="Times New Roman" w:hAnsi="Times New Roman" w:cs="Times New Roman" w:hint="eastAsia"/>
          <w:bCs/>
          <w:sz w:val="32"/>
          <w:szCs w:val="32"/>
          <w:lang w:val="en-US"/>
        </w:rPr>
        <w:t>94</w:t>
      </w:r>
      <w:r>
        <w:rPr>
          <w:rFonts w:ascii="Times New Roman" w:hAnsi="Times New Roman" w:cs="Times New Roman" w:hint="eastAsia"/>
          <w:bCs/>
          <w:sz w:val="32"/>
          <w:szCs w:val="32"/>
          <w:lang w:val="en-US"/>
        </w:rPr>
        <w:t>期，存续</w:t>
      </w:r>
      <w:r>
        <w:rPr>
          <w:rFonts w:ascii="Times New Roman" w:hAnsi="Times New Roman" w:cs="Times New Roman"/>
          <w:bCs/>
          <w:sz w:val="32"/>
          <w:szCs w:val="32"/>
        </w:rPr>
        <w:t>理财余额为</w:t>
      </w:r>
      <w:r>
        <w:rPr>
          <w:rFonts w:ascii="Times New Roman" w:hAnsi="Times New Roman" w:cs="Times New Roman" w:hint="eastAsia"/>
          <w:bCs/>
          <w:sz w:val="32"/>
          <w:szCs w:val="32"/>
          <w:lang w:val="en-US"/>
        </w:rPr>
        <w:t>105.75</w:t>
      </w:r>
      <w:r>
        <w:rPr>
          <w:rFonts w:ascii="Times New Roman" w:hAnsi="Times New Roman" w:cs="Times New Roman" w:hint="eastAsia"/>
          <w:bCs/>
          <w:sz w:val="32"/>
          <w:szCs w:val="32"/>
          <w:lang w:val="en-US"/>
        </w:rPr>
        <w:t>亿</w:t>
      </w:r>
      <w:r>
        <w:rPr>
          <w:rFonts w:ascii="Times New Roman" w:hAnsi="Times New Roman" w:cs="Times New Roman"/>
          <w:bCs/>
          <w:sz w:val="32"/>
          <w:szCs w:val="32"/>
          <w:lang w:val="en-US"/>
        </w:rPr>
        <w:t>元</w:t>
      </w:r>
      <w:r>
        <w:rPr>
          <w:rFonts w:ascii="Times New Roman" w:hAnsi="Times New Roman" w:cs="Times New Roman" w:hint="eastAsia"/>
          <w:bCs/>
          <w:sz w:val="32"/>
          <w:szCs w:val="32"/>
          <w:lang w:val="en-US"/>
        </w:rPr>
        <w:t>。</w:t>
      </w:r>
    </w:p>
    <w:p w:rsidR="001E4202" w:rsidRDefault="001014D6">
      <w:pPr>
        <w:pStyle w:val="a6"/>
        <w:widowControl/>
        <w:shd w:val="clear" w:color="auto" w:fill="FFFFFF"/>
        <w:spacing w:beforeAutospacing="0" w:afterAutospacing="0" w:line="560" w:lineRule="exact"/>
        <w:jc w:val="both"/>
        <w:rPr>
          <w:rFonts w:ascii="Times New Roman" w:eastAsia="楷体" w:hAnsi="Times New Roman"/>
          <w:color w:val="333333"/>
          <w:spacing w:val="8"/>
          <w:sz w:val="32"/>
          <w:szCs w:val="32"/>
          <w:shd w:val="clear" w:color="auto" w:fill="FFFFFF"/>
          <w:lang w:val="en-US"/>
        </w:rPr>
      </w:pPr>
      <w:r>
        <w:rPr>
          <w:rFonts w:ascii="Times New Roman" w:eastAsia="楷体" w:hAnsi="Times New Roman" w:hint="eastAsia"/>
          <w:color w:val="333333"/>
          <w:spacing w:val="8"/>
          <w:sz w:val="32"/>
          <w:szCs w:val="32"/>
          <w:shd w:val="clear" w:color="auto" w:fill="FFFFFF"/>
          <w:lang w:val="en-US"/>
        </w:rPr>
        <w:t xml:space="preserve">    (</w:t>
      </w:r>
      <w:r>
        <w:rPr>
          <w:rFonts w:ascii="Times New Roman" w:eastAsia="楷体" w:hAnsi="Times New Roman" w:hint="eastAsia"/>
          <w:color w:val="333333"/>
          <w:spacing w:val="8"/>
          <w:sz w:val="32"/>
          <w:szCs w:val="32"/>
          <w:shd w:val="clear" w:color="auto" w:fill="FFFFFF"/>
          <w:lang w:val="en-US"/>
        </w:rPr>
        <w:t>一</w:t>
      </w:r>
      <w:r>
        <w:rPr>
          <w:rFonts w:ascii="Times New Roman" w:eastAsia="楷体" w:hAnsi="Times New Roman" w:hint="eastAsia"/>
          <w:color w:val="333333"/>
          <w:spacing w:val="8"/>
          <w:sz w:val="32"/>
          <w:szCs w:val="32"/>
          <w:shd w:val="clear" w:color="auto" w:fill="FFFFFF"/>
          <w:lang w:val="en-US"/>
        </w:rPr>
        <w:t>)</w:t>
      </w:r>
      <w:r>
        <w:rPr>
          <w:rFonts w:ascii="Times New Roman" w:eastAsia="楷体" w:hAnsi="Times New Roman" w:hint="eastAsia"/>
          <w:color w:val="333333"/>
          <w:spacing w:val="8"/>
          <w:sz w:val="32"/>
          <w:szCs w:val="32"/>
          <w:shd w:val="clear" w:color="auto" w:fill="FFFFFF"/>
          <w:lang w:val="en-US"/>
        </w:rPr>
        <w:t>按产品运作模式</w:t>
      </w:r>
      <w:r>
        <w:rPr>
          <w:rFonts w:ascii="Times New Roman" w:eastAsia="楷体" w:hAnsi="Times New Roman" w:hint="eastAsia"/>
          <w:spacing w:val="8"/>
          <w:sz w:val="32"/>
          <w:szCs w:val="32"/>
          <w:shd w:val="clear" w:color="auto" w:fill="FFFFFF"/>
          <w:lang w:val="en-US"/>
        </w:rPr>
        <w:t>划分</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5"/>
        <w:gridCol w:w="1457"/>
        <w:gridCol w:w="2301"/>
        <w:gridCol w:w="2514"/>
        <w:gridCol w:w="1962"/>
      </w:tblGrid>
      <w:tr w:rsidR="001E4202">
        <w:trPr>
          <w:jc w:val="center"/>
        </w:trPr>
        <w:tc>
          <w:tcPr>
            <w:tcW w:w="2242" w:type="dxa"/>
            <w:gridSpan w:val="2"/>
            <w:tcBorders>
              <w:top w:val="single" w:sz="4" w:space="0" w:color="auto"/>
              <w:left w:val="single" w:sz="4" w:space="0" w:color="auto"/>
            </w:tcBorders>
            <w:vAlign w:val="center"/>
          </w:tcPr>
          <w:p w:rsidR="001E4202" w:rsidRDefault="001E4202">
            <w:pPr>
              <w:jc w:val="center"/>
              <w:rPr>
                <w:sz w:val="24"/>
                <w:szCs w:val="24"/>
              </w:rPr>
            </w:pPr>
          </w:p>
        </w:tc>
        <w:tc>
          <w:tcPr>
            <w:tcW w:w="2301" w:type="dxa"/>
            <w:tcBorders>
              <w:top w:val="single" w:sz="4" w:space="0" w:color="auto"/>
            </w:tcBorders>
            <w:vAlign w:val="center"/>
          </w:tcPr>
          <w:p w:rsidR="001E4202" w:rsidRDefault="001014D6">
            <w:pPr>
              <w:jc w:val="center"/>
              <w:rPr>
                <w:rFonts w:eastAsia="宋体"/>
                <w:b/>
                <w:bCs/>
                <w:sz w:val="24"/>
                <w:szCs w:val="24"/>
                <w:lang w:val="en-US"/>
              </w:rPr>
            </w:pPr>
            <w:r>
              <w:rPr>
                <w:rFonts w:hint="eastAsia"/>
                <w:b/>
                <w:bCs/>
                <w:sz w:val="24"/>
                <w:szCs w:val="24"/>
                <w:lang w:val="en-US"/>
              </w:rPr>
              <w:t>封闭式净值型</w:t>
            </w:r>
          </w:p>
        </w:tc>
        <w:tc>
          <w:tcPr>
            <w:tcW w:w="2514" w:type="dxa"/>
            <w:tcBorders>
              <w:top w:val="single" w:sz="4" w:space="0" w:color="auto"/>
            </w:tcBorders>
            <w:vAlign w:val="center"/>
          </w:tcPr>
          <w:p w:rsidR="001E4202" w:rsidRDefault="001014D6">
            <w:pPr>
              <w:jc w:val="center"/>
              <w:rPr>
                <w:rFonts w:eastAsia="宋体"/>
                <w:b/>
                <w:bCs/>
                <w:sz w:val="24"/>
                <w:szCs w:val="24"/>
                <w:lang w:val="en-US"/>
              </w:rPr>
            </w:pPr>
            <w:r>
              <w:rPr>
                <w:rFonts w:hint="eastAsia"/>
                <w:b/>
                <w:bCs/>
                <w:sz w:val="24"/>
                <w:szCs w:val="24"/>
                <w:lang w:val="en-US"/>
              </w:rPr>
              <w:t>非净值型</w:t>
            </w:r>
          </w:p>
        </w:tc>
        <w:tc>
          <w:tcPr>
            <w:tcW w:w="1962" w:type="dxa"/>
            <w:tcBorders>
              <w:top w:val="single" w:sz="4" w:space="0" w:color="auto"/>
              <w:right w:val="single" w:sz="4" w:space="0" w:color="auto"/>
            </w:tcBorders>
            <w:vAlign w:val="center"/>
          </w:tcPr>
          <w:p w:rsidR="001E4202" w:rsidRDefault="001014D6">
            <w:pPr>
              <w:jc w:val="center"/>
              <w:rPr>
                <w:b/>
                <w:bCs/>
                <w:sz w:val="24"/>
                <w:szCs w:val="24"/>
                <w:lang w:val="en-US"/>
              </w:rPr>
            </w:pPr>
            <w:r>
              <w:rPr>
                <w:rFonts w:hint="eastAsia"/>
                <w:b/>
                <w:bCs/>
                <w:sz w:val="24"/>
                <w:szCs w:val="24"/>
                <w:lang w:val="en-US"/>
              </w:rPr>
              <w:t>合计</w:t>
            </w:r>
          </w:p>
        </w:tc>
      </w:tr>
      <w:tr w:rsidR="001E4202">
        <w:trPr>
          <w:jc w:val="center"/>
        </w:trPr>
        <w:tc>
          <w:tcPr>
            <w:tcW w:w="785" w:type="dxa"/>
            <w:vMerge w:val="restart"/>
            <w:tcBorders>
              <w:left w:val="single" w:sz="4" w:space="0" w:color="auto"/>
            </w:tcBorders>
            <w:vAlign w:val="center"/>
          </w:tcPr>
          <w:p w:rsidR="001E4202" w:rsidRDefault="001014D6">
            <w:pPr>
              <w:jc w:val="center"/>
              <w:rPr>
                <w:rFonts w:eastAsia="宋体"/>
                <w:b/>
                <w:bCs/>
                <w:sz w:val="24"/>
                <w:szCs w:val="24"/>
                <w:lang w:val="en-US"/>
              </w:rPr>
            </w:pPr>
            <w:r>
              <w:rPr>
                <w:rFonts w:eastAsia="宋体" w:hint="eastAsia"/>
                <w:b/>
                <w:bCs/>
                <w:sz w:val="24"/>
                <w:szCs w:val="24"/>
                <w:lang w:val="en-US"/>
              </w:rPr>
              <w:t>2019</w:t>
            </w:r>
            <w:r>
              <w:rPr>
                <w:rFonts w:eastAsia="宋体" w:hint="eastAsia"/>
                <w:b/>
                <w:bCs/>
                <w:sz w:val="24"/>
                <w:szCs w:val="24"/>
                <w:lang w:val="en-US"/>
              </w:rPr>
              <w:t>年上半年</w:t>
            </w:r>
          </w:p>
        </w:tc>
        <w:tc>
          <w:tcPr>
            <w:tcW w:w="1457" w:type="dxa"/>
            <w:vAlign w:val="center"/>
          </w:tcPr>
          <w:p w:rsidR="001E4202" w:rsidRPr="00DB3A37" w:rsidRDefault="001014D6">
            <w:pPr>
              <w:jc w:val="center"/>
              <w:rPr>
                <w:sz w:val="24"/>
                <w:szCs w:val="24"/>
              </w:rPr>
            </w:pPr>
            <w:r>
              <w:rPr>
                <w:rFonts w:hint="eastAsia"/>
                <w:sz w:val="24"/>
                <w:szCs w:val="24"/>
              </w:rPr>
              <w:t>期数</w:t>
            </w:r>
          </w:p>
        </w:tc>
        <w:tc>
          <w:tcPr>
            <w:tcW w:w="2301" w:type="dxa"/>
            <w:vAlign w:val="center"/>
          </w:tcPr>
          <w:p w:rsidR="001E4202" w:rsidRPr="00DB3A37" w:rsidRDefault="001014D6">
            <w:pPr>
              <w:jc w:val="center"/>
              <w:rPr>
                <w:sz w:val="24"/>
                <w:szCs w:val="24"/>
              </w:rPr>
            </w:pPr>
            <w:r w:rsidRPr="00DB3A37">
              <w:rPr>
                <w:rFonts w:hint="eastAsia"/>
                <w:sz w:val="24"/>
                <w:szCs w:val="24"/>
              </w:rPr>
              <w:t>40</w:t>
            </w:r>
          </w:p>
        </w:tc>
        <w:tc>
          <w:tcPr>
            <w:tcW w:w="2514" w:type="dxa"/>
            <w:vAlign w:val="center"/>
          </w:tcPr>
          <w:p w:rsidR="001E4202" w:rsidRPr="00DB3A37" w:rsidRDefault="001014D6">
            <w:pPr>
              <w:jc w:val="center"/>
              <w:rPr>
                <w:sz w:val="24"/>
                <w:szCs w:val="24"/>
              </w:rPr>
            </w:pPr>
            <w:r w:rsidRPr="00DB3A37">
              <w:rPr>
                <w:rFonts w:hint="eastAsia"/>
                <w:sz w:val="24"/>
                <w:szCs w:val="24"/>
              </w:rPr>
              <w:t>54</w:t>
            </w:r>
          </w:p>
        </w:tc>
        <w:tc>
          <w:tcPr>
            <w:tcW w:w="1962"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94</w:t>
            </w:r>
          </w:p>
        </w:tc>
      </w:tr>
      <w:tr w:rsidR="001E4202">
        <w:trPr>
          <w:jc w:val="center"/>
        </w:trPr>
        <w:tc>
          <w:tcPr>
            <w:tcW w:w="785" w:type="dxa"/>
            <w:vMerge/>
            <w:tcBorders>
              <w:left w:val="single" w:sz="4" w:space="0" w:color="auto"/>
            </w:tcBorders>
            <w:vAlign w:val="center"/>
          </w:tcPr>
          <w:p w:rsidR="001E4202" w:rsidRDefault="001E4202">
            <w:pPr>
              <w:jc w:val="center"/>
              <w:rPr>
                <w:b/>
                <w:bCs/>
                <w:sz w:val="24"/>
                <w:szCs w:val="24"/>
              </w:rPr>
            </w:pPr>
          </w:p>
        </w:tc>
        <w:tc>
          <w:tcPr>
            <w:tcW w:w="1457" w:type="dxa"/>
            <w:vAlign w:val="center"/>
          </w:tcPr>
          <w:p w:rsidR="001E4202" w:rsidRPr="00DB3A37" w:rsidRDefault="001014D6">
            <w:pPr>
              <w:jc w:val="center"/>
              <w:rPr>
                <w:sz w:val="24"/>
                <w:szCs w:val="24"/>
              </w:rPr>
            </w:pPr>
            <w:r>
              <w:rPr>
                <w:rFonts w:hint="eastAsia"/>
                <w:sz w:val="24"/>
                <w:szCs w:val="24"/>
              </w:rPr>
              <w:t>存续金额</w:t>
            </w:r>
            <w:r w:rsidRPr="00DB3A37">
              <w:rPr>
                <w:rFonts w:hint="eastAsia"/>
                <w:sz w:val="24"/>
                <w:szCs w:val="24"/>
              </w:rPr>
              <w:t>(万)</w:t>
            </w:r>
          </w:p>
        </w:tc>
        <w:tc>
          <w:tcPr>
            <w:tcW w:w="2301" w:type="dxa"/>
            <w:vAlign w:val="center"/>
          </w:tcPr>
          <w:p w:rsidR="001E4202" w:rsidRPr="00DB3A37" w:rsidRDefault="001014D6">
            <w:pPr>
              <w:jc w:val="center"/>
              <w:rPr>
                <w:sz w:val="24"/>
                <w:szCs w:val="24"/>
              </w:rPr>
            </w:pPr>
            <w:r w:rsidRPr="00DB3A37">
              <w:rPr>
                <w:rFonts w:hint="eastAsia"/>
                <w:sz w:val="24"/>
                <w:szCs w:val="24"/>
              </w:rPr>
              <w:t>515,759</w:t>
            </w:r>
          </w:p>
        </w:tc>
        <w:tc>
          <w:tcPr>
            <w:tcW w:w="2514" w:type="dxa"/>
            <w:vAlign w:val="center"/>
          </w:tcPr>
          <w:p w:rsidR="001E4202" w:rsidRPr="00DB3A37" w:rsidRDefault="001014D6">
            <w:pPr>
              <w:jc w:val="center"/>
              <w:rPr>
                <w:sz w:val="24"/>
                <w:szCs w:val="24"/>
              </w:rPr>
            </w:pPr>
            <w:r w:rsidRPr="00DB3A37">
              <w:rPr>
                <w:rFonts w:hint="eastAsia"/>
                <w:sz w:val="24"/>
                <w:szCs w:val="24"/>
              </w:rPr>
              <w:t>541,749</w:t>
            </w:r>
          </w:p>
        </w:tc>
        <w:tc>
          <w:tcPr>
            <w:tcW w:w="1962" w:type="dxa"/>
            <w:tcBorders>
              <w:right w:val="single" w:sz="4" w:space="0" w:color="auto"/>
            </w:tcBorders>
            <w:vAlign w:val="center"/>
          </w:tcPr>
          <w:p w:rsidR="001E4202" w:rsidRPr="00DB3A37" w:rsidRDefault="001014D6">
            <w:pPr>
              <w:jc w:val="center"/>
              <w:rPr>
                <w:sz w:val="24"/>
                <w:szCs w:val="24"/>
              </w:rPr>
            </w:pPr>
            <w:r w:rsidRPr="00DB3A37">
              <w:rPr>
                <w:rFonts w:hint="eastAsia"/>
                <w:sz w:val="24"/>
                <w:szCs w:val="24"/>
              </w:rPr>
              <w:t>1,057,508</w:t>
            </w:r>
          </w:p>
        </w:tc>
      </w:tr>
      <w:tr w:rsidR="001E4202">
        <w:trPr>
          <w:jc w:val="center"/>
        </w:trPr>
        <w:tc>
          <w:tcPr>
            <w:tcW w:w="785" w:type="dxa"/>
            <w:vMerge/>
            <w:tcBorders>
              <w:left w:val="single" w:sz="4" w:space="0" w:color="auto"/>
            </w:tcBorders>
            <w:vAlign w:val="center"/>
          </w:tcPr>
          <w:p w:rsidR="001E4202" w:rsidRDefault="001E4202">
            <w:pPr>
              <w:jc w:val="center"/>
              <w:rPr>
                <w:b/>
                <w:bCs/>
                <w:sz w:val="24"/>
                <w:szCs w:val="24"/>
              </w:rPr>
            </w:pPr>
          </w:p>
        </w:tc>
        <w:tc>
          <w:tcPr>
            <w:tcW w:w="1457" w:type="dxa"/>
            <w:tcBorders>
              <w:bottom w:val="single" w:sz="4" w:space="0" w:color="auto"/>
            </w:tcBorders>
            <w:vAlign w:val="center"/>
          </w:tcPr>
          <w:p w:rsidR="001E4202" w:rsidRPr="00DB3A37" w:rsidRDefault="001014D6">
            <w:pPr>
              <w:jc w:val="center"/>
              <w:rPr>
                <w:sz w:val="24"/>
                <w:szCs w:val="24"/>
              </w:rPr>
            </w:pPr>
            <w:r>
              <w:rPr>
                <w:rFonts w:hint="eastAsia"/>
                <w:sz w:val="24"/>
                <w:szCs w:val="24"/>
              </w:rPr>
              <w:t>金额占比</w:t>
            </w:r>
          </w:p>
        </w:tc>
        <w:tc>
          <w:tcPr>
            <w:tcW w:w="2301"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48.77</w:t>
            </w:r>
            <w:r w:rsidRPr="00DB3A37">
              <w:rPr>
                <w:sz w:val="24"/>
                <w:szCs w:val="24"/>
              </w:rPr>
              <w:t>%</w:t>
            </w:r>
          </w:p>
        </w:tc>
        <w:tc>
          <w:tcPr>
            <w:tcW w:w="2514" w:type="dxa"/>
            <w:tcBorders>
              <w:bottom w:val="single" w:sz="4" w:space="0" w:color="auto"/>
            </w:tcBorders>
            <w:vAlign w:val="center"/>
          </w:tcPr>
          <w:p w:rsidR="001E4202" w:rsidRDefault="001014D6">
            <w:pPr>
              <w:jc w:val="center"/>
              <w:textAlignment w:val="center"/>
              <w:rPr>
                <w:sz w:val="24"/>
                <w:szCs w:val="24"/>
              </w:rPr>
            </w:pPr>
            <w:r w:rsidRPr="00DB3A37">
              <w:rPr>
                <w:rFonts w:hint="eastAsia"/>
                <w:sz w:val="24"/>
                <w:szCs w:val="24"/>
              </w:rPr>
              <w:t>51.23</w:t>
            </w:r>
            <w:r w:rsidRPr="00DB3A37">
              <w:rPr>
                <w:sz w:val="24"/>
                <w:szCs w:val="24"/>
              </w:rPr>
              <w:t>%</w:t>
            </w:r>
          </w:p>
        </w:tc>
        <w:tc>
          <w:tcPr>
            <w:tcW w:w="1962" w:type="dxa"/>
            <w:tcBorders>
              <w:bottom w:val="single" w:sz="4" w:space="0" w:color="auto"/>
              <w:right w:val="single" w:sz="4" w:space="0" w:color="auto"/>
            </w:tcBorders>
            <w:vAlign w:val="center"/>
          </w:tcPr>
          <w:p w:rsidR="001E4202" w:rsidRPr="00DB3A37" w:rsidRDefault="001014D6">
            <w:pPr>
              <w:jc w:val="center"/>
              <w:textAlignment w:val="center"/>
              <w:rPr>
                <w:sz w:val="24"/>
                <w:szCs w:val="24"/>
              </w:rPr>
            </w:pPr>
            <w:r w:rsidRPr="00DB3A37">
              <w:rPr>
                <w:rFonts w:hint="eastAsia"/>
                <w:sz w:val="24"/>
                <w:szCs w:val="24"/>
              </w:rPr>
              <w:t>100.00%</w:t>
            </w:r>
          </w:p>
        </w:tc>
      </w:tr>
    </w:tbl>
    <w:p w:rsidR="001E4202" w:rsidRDefault="001014D6">
      <w:pPr>
        <w:widowControl/>
        <w:spacing w:line="560" w:lineRule="exact"/>
        <w:ind w:firstLine="330"/>
        <w:rPr>
          <w:rFonts w:ascii="Times New Roman" w:eastAsia="楷体" w:hAnsi="Times New Roman"/>
          <w:color w:val="333333"/>
          <w:spacing w:val="8"/>
          <w:sz w:val="32"/>
          <w:szCs w:val="32"/>
          <w:shd w:val="clear" w:color="auto" w:fill="FFFFFF"/>
          <w:lang w:val="en-US"/>
        </w:rPr>
      </w:pPr>
      <w:r>
        <w:rPr>
          <w:rFonts w:ascii="Times New Roman" w:eastAsia="楷体" w:hAnsi="Times New Roman" w:hint="eastAsia"/>
          <w:color w:val="333333"/>
          <w:spacing w:val="8"/>
          <w:sz w:val="32"/>
          <w:szCs w:val="32"/>
          <w:shd w:val="clear" w:color="auto" w:fill="FFFFFF"/>
          <w:lang w:val="en-US"/>
        </w:rPr>
        <w:t>(</w:t>
      </w:r>
      <w:r>
        <w:rPr>
          <w:rFonts w:ascii="Times New Roman" w:eastAsia="楷体" w:hAnsi="Times New Roman" w:hint="eastAsia"/>
          <w:color w:val="333333"/>
          <w:spacing w:val="8"/>
          <w:sz w:val="32"/>
          <w:szCs w:val="32"/>
          <w:shd w:val="clear" w:color="auto" w:fill="FFFFFF"/>
          <w:lang w:val="en-US"/>
        </w:rPr>
        <w:t>二</w:t>
      </w:r>
      <w:r>
        <w:rPr>
          <w:rFonts w:ascii="Times New Roman" w:eastAsia="楷体" w:hAnsi="Times New Roman" w:hint="eastAsia"/>
          <w:color w:val="333333"/>
          <w:spacing w:val="8"/>
          <w:sz w:val="32"/>
          <w:szCs w:val="32"/>
          <w:shd w:val="clear" w:color="auto" w:fill="FFFFFF"/>
          <w:lang w:val="en-US"/>
        </w:rPr>
        <w:t>)</w:t>
      </w:r>
      <w:r>
        <w:rPr>
          <w:rFonts w:ascii="Times New Roman" w:eastAsia="楷体" w:hAnsi="Times New Roman" w:hint="eastAsia"/>
          <w:color w:val="333333"/>
          <w:spacing w:val="8"/>
          <w:sz w:val="32"/>
          <w:szCs w:val="32"/>
          <w:shd w:val="clear" w:color="auto" w:fill="FFFFFF"/>
          <w:lang w:val="en-US"/>
        </w:rPr>
        <w:t>按风险等级</w:t>
      </w:r>
      <w:r>
        <w:rPr>
          <w:rFonts w:ascii="Times New Roman" w:eastAsia="楷体" w:hAnsi="Times New Roman" w:hint="eastAsia"/>
          <w:spacing w:val="8"/>
          <w:sz w:val="32"/>
          <w:szCs w:val="32"/>
          <w:shd w:val="clear" w:color="auto" w:fill="FFFFFF"/>
          <w:lang w:val="en-US"/>
        </w:rPr>
        <w:t>划分</w:t>
      </w:r>
      <w:r>
        <w:rPr>
          <w:rFonts w:ascii="Times New Roman" w:eastAsia="楷体" w:hAnsi="Times New Roman" w:hint="eastAsia"/>
          <w:color w:val="333333"/>
          <w:spacing w:val="8"/>
          <w:sz w:val="32"/>
          <w:szCs w:val="32"/>
          <w:shd w:val="clear" w:color="auto" w:fill="FFFFFF"/>
          <w:lang w:val="en-US"/>
        </w:rPr>
        <w:t>，中低</w:t>
      </w:r>
      <w:r w:rsidR="001E7AB9">
        <w:rPr>
          <w:rFonts w:ascii="Times New Roman" w:eastAsia="楷体" w:hAnsi="Times New Roman" w:hint="eastAsia"/>
          <w:color w:val="333333"/>
          <w:spacing w:val="8"/>
          <w:sz w:val="32"/>
          <w:szCs w:val="32"/>
          <w:shd w:val="clear" w:color="auto" w:fill="FFFFFF"/>
          <w:lang w:val="en-US"/>
        </w:rPr>
        <w:t>风险</w:t>
      </w:r>
      <w:r>
        <w:rPr>
          <w:rFonts w:ascii="Times New Roman" w:eastAsia="楷体" w:hAnsi="Times New Roman" w:hint="eastAsia"/>
          <w:color w:val="333333"/>
          <w:spacing w:val="8"/>
          <w:sz w:val="32"/>
          <w:szCs w:val="32"/>
          <w:shd w:val="clear" w:color="auto" w:fill="FFFFFF"/>
          <w:lang w:val="en-US"/>
        </w:rPr>
        <w:t>评级理财产品占主导，</w:t>
      </w:r>
      <w:r w:rsidR="001E7AB9">
        <w:rPr>
          <w:rFonts w:ascii="Times New Roman" w:eastAsia="楷体" w:hAnsi="Times New Roman" w:hint="eastAsia"/>
          <w:color w:val="333333"/>
          <w:spacing w:val="8"/>
          <w:sz w:val="32"/>
          <w:szCs w:val="32"/>
          <w:shd w:val="clear" w:color="auto" w:fill="FFFFFF"/>
          <w:lang w:val="en-US"/>
        </w:rPr>
        <w:t>主要投资于债券资产；</w:t>
      </w:r>
      <w:r>
        <w:rPr>
          <w:rFonts w:ascii="Times New Roman" w:eastAsia="楷体" w:hAnsi="Times New Roman" w:hint="eastAsia"/>
          <w:color w:val="333333"/>
          <w:spacing w:val="8"/>
          <w:sz w:val="32"/>
          <w:szCs w:val="32"/>
          <w:shd w:val="clear" w:color="auto" w:fill="FFFFFF"/>
          <w:lang w:val="en-US"/>
        </w:rPr>
        <w:t>中等评级产品均投资于省内优质企业基础设施建设项目，总体风险可控。</w:t>
      </w:r>
    </w:p>
    <w:tbl>
      <w:tblPr>
        <w:tblpPr w:leftFromText="180" w:rightFromText="180" w:vertAnchor="text" w:horzAnchor="page" w:tblpX="1580" w:tblpY="49"/>
        <w:tblOverlap w:val="neve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4"/>
        <w:gridCol w:w="1500"/>
        <w:gridCol w:w="1275"/>
        <w:gridCol w:w="1065"/>
        <w:gridCol w:w="1305"/>
        <w:gridCol w:w="1305"/>
        <w:gridCol w:w="1530"/>
      </w:tblGrid>
      <w:tr w:rsidR="001E4202">
        <w:tc>
          <w:tcPr>
            <w:tcW w:w="2424" w:type="dxa"/>
            <w:gridSpan w:val="2"/>
            <w:vAlign w:val="center"/>
          </w:tcPr>
          <w:p w:rsidR="001E4202" w:rsidRDefault="001E4202">
            <w:pPr>
              <w:jc w:val="center"/>
              <w:rPr>
                <w:sz w:val="24"/>
                <w:szCs w:val="24"/>
              </w:rPr>
            </w:pPr>
          </w:p>
        </w:tc>
        <w:tc>
          <w:tcPr>
            <w:tcW w:w="1275" w:type="dxa"/>
            <w:vAlign w:val="center"/>
          </w:tcPr>
          <w:p w:rsidR="001E4202" w:rsidRDefault="001014D6">
            <w:pPr>
              <w:jc w:val="center"/>
              <w:rPr>
                <w:rFonts w:eastAsia="宋体"/>
                <w:b/>
                <w:bCs/>
                <w:sz w:val="24"/>
                <w:szCs w:val="24"/>
                <w:lang w:val="en-US"/>
              </w:rPr>
            </w:pPr>
            <w:r>
              <w:rPr>
                <w:rFonts w:hint="eastAsia"/>
                <w:b/>
                <w:bCs/>
                <w:sz w:val="24"/>
                <w:szCs w:val="24"/>
                <w:lang w:val="en-US"/>
              </w:rPr>
              <w:t>R1</w:t>
            </w:r>
          </w:p>
        </w:tc>
        <w:tc>
          <w:tcPr>
            <w:tcW w:w="1065" w:type="dxa"/>
            <w:vAlign w:val="center"/>
          </w:tcPr>
          <w:p w:rsidR="001E4202" w:rsidRDefault="001014D6">
            <w:pPr>
              <w:jc w:val="center"/>
              <w:rPr>
                <w:rFonts w:eastAsia="宋体"/>
                <w:b/>
                <w:bCs/>
                <w:sz w:val="24"/>
                <w:szCs w:val="24"/>
                <w:lang w:val="en-US"/>
              </w:rPr>
            </w:pPr>
            <w:r>
              <w:rPr>
                <w:rFonts w:eastAsia="宋体" w:hint="eastAsia"/>
                <w:b/>
                <w:bCs/>
                <w:sz w:val="24"/>
                <w:szCs w:val="24"/>
                <w:lang w:val="en-US"/>
              </w:rPr>
              <w:t>R2</w:t>
            </w:r>
          </w:p>
        </w:tc>
        <w:tc>
          <w:tcPr>
            <w:tcW w:w="1305" w:type="dxa"/>
            <w:vAlign w:val="center"/>
          </w:tcPr>
          <w:p w:rsidR="001E4202" w:rsidRDefault="001014D6">
            <w:pPr>
              <w:jc w:val="center"/>
              <w:rPr>
                <w:rFonts w:eastAsia="宋体"/>
                <w:b/>
                <w:bCs/>
                <w:sz w:val="24"/>
                <w:szCs w:val="24"/>
                <w:lang w:val="en-US"/>
              </w:rPr>
            </w:pPr>
            <w:r>
              <w:rPr>
                <w:rFonts w:hint="eastAsia"/>
                <w:b/>
                <w:bCs/>
                <w:sz w:val="24"/>
                <w:szCs w:val="24"/>
                <w:lang w:val="en-US"/>
              </w:rPr>
              <w:t>R3</w:t>
            </w:r>
          </w:p>
        </w:tc>
        <w:tc>
          <w:tcPr>
            <w:tcW w:w="1305" w:type="dxa"/>
            <w:vAlign w:val="center"/>
          </w:tcPr>
          <w:p w:rsidR="001E4202" w:rsidRDefault="001014D6">
            <w:pPr>
              <w:jc w:val="center"/>
              <w:rPr>
                <w:rFonts w:eastAsia="宋体"/>
                <w:b/>
                <w:bCs/>
                <w:sz w:val="24"/>
                <w:szCs w:val="24"/>
              </w:rPr>
            </w:pPr>
            <w:r>
              <w:rPr>
                <w:rFonts w:hint="eastAsia"/>
                <w:b/>
                <w:bCs/>
                <w:sz w:val="24"/>
                <w:szCs w:val="24"/>
                <w:lang w:val="en-US"/>
              </w:rPr>
              <w:t>R4-R5</w:t>
            </w:r>
          </w:p>
        </w:tc>
        <w:tc>
          <w:tcPr>
            <w:tcW w:w="1530" w:type="dxa"/>
            <w:vAlign w:val="center"/>
          </w:tcPr>
          <w:p w:rsidR="001E4202" w:rsidRDefault="001014D6">
            <w:pPr>
              <w:jc w:val="center"/>
              <w:rPr>
                <w:b/>
                <w:bCs/>
                <w:sz w:val="24"/>
                <w:szCs w:val="24"/>
              </w:rPr>
            </w:pPr>
            <w:r>
              <w:rPr>
                <w:rFonts w:hint="eastAsia"/>
                <w:b/>
                <w:bCs/>
                <w:sz w:val="24"/>
                <w:szCs w:val="24"/>
              </w:rPr>
              <w:t>合计</w:t>
            </w:r>
          </w:p>
        </w:tc>
      </w:tr>
      <w:tr w:rsidR="001E4202">
        <w:tc>
          <w:tcPr>
            <w:tcW w:w="924" w:type="dxa"/>
            <w:vMerge w:val="restart"/>
            <w:vAlign w:val="center"/>
          </w:tcPr>
          <w:p w:rsidR="001E4202" w:rsidRDefault="001014D6">
            <w:pPr>
              <w:jc w:val="center"/>
              <w:rPr>
                <w:rFonts w:eastAsia="宋体"/>
                <w:b/>
                <w:bCs/>
                <w:sz w:val="24"/>
                <w:szCs w:val="24"/>
                <w:lang w:val="en-US"/>
              </w:rPr>
            </w:pPr>
            <w:r>
              <w:rPr>
                <w:rFonts w:eastAsia="宋体" w:hint="eastAsia"/>
                <w:b/>
                <w:bCs/>
                <w:sz w:val="24"/>
                <w:szCs w:val="24"/>
                <w:lang w:val="en-US"/>
              </w:rPr>
              <w:t>2019</w:t>
            </w:r>
            <w:r>
              <w:rPr>
                <w:rFonts w:eastAsia="宋体" w:hint="eastAsia"/>
                <w:b/>
                <w:bCs/>
                <w:sz w:val="24"/>
                <w:szCs w:val="24"/>
                <w:lang w:val="en-US"/>
              </w:rPr>
              <w:t>年上半年</w:t>
            </w:r>
          </w:p>
        </w:tc>
        <w:tc>
          <w:tcPr>
            <w:tcW w:w="1500" w:type="dxa"/>
            <w:vAlign w:val="center"/>
          </w:tcPr>
          <w:p w:rsidR="001E4202" w:rsidRPr="00DB3A37" w:rsidRDefault="001014D6">
            <w:pPr>
              <w:jc w:val="center"/>
              <w:rPr>
                <w:sz w:val="24"/>
                <w:szCs w:val="24"/>
              </w:rPr>
            </w:pPr>
            <w:r>
              <w:rPr>
                <w:rFonts w:hint="eastAsia"/>
                <w:sz w:val="24"/>
                <w:szCs w:val="24"/>
              </w:rPr>
              <w:t>期数</w:t>
            </w:r>
          </w:p>
        </w:tc>
        <w:tc>
          <w:tcPr>
            <w:tcW w:w="1275" w:type="dxa"/>
            <w:vAlign w:val="center"/>
          </w:tcPr>
          <w:p w:rsidR="001E4202" w:rsidRPr="00DB3A37" w:rsidRDefault="001014D6">
            <w:pPr>
              <w:jc w:val="center"/>
              <w:rPr>
                <w:sz w:val="24"/>
                <w:szCs w:val="24"/>
              </w:rPr>
            </w:pPr>
            <w:r w:rsidRPr="00DB3A37">
              <w:rPr>
                <w:rFonts w:hint="eastAsia"/>
                <w:sz w:val="24"/>
                <w:szCs w:val="24"/>
              </w:rPr>
              <w:t>0</w:t>
            </w:r>
          </w:p>
        </w:tc>
        <w:tc>
          <w:tcPr>
            <w:tcW w:w="1065" w:type="dxa"/>
            <w:vAlign w:val="center"/>
          </w:tcPr>
          <w:p w:rsidR="001E4202" w:rsidRPr="00DB3A37" w:rsidRDefault="001014D6">
            <w:pPr>
              <w:jc w:val="center"/>
              <w:rPr>
                <w:sz w:val="24"/>
                <w:szCs w:val="24"/>
              </w:rPr>
            </w:pPr>
            <w:r w:rsidRPr="00DB3A37">
              <w:rPr>
                <w:rFonts w:hint="eastAsia"/>
                <w:sz w:val="24"/>
                <w:szCs w:val="24"/>
              </w:rPr>
              <w:t>77</w:t>
            </w:r>
          </w:p>
        </w:tc>
        <w:tc>
          <w:tcPr>
            <w:tcW w:w="1305" w:type="dxa"/>
            <w:vAlign w:val="center"/>
          </w:tcPr>
          <w:p w:rsidR="001E4202" w:rsidRPr="00DB3A37" w:rsidRDefault="001014D6">
            <w:pPr>
              <w:jc w:val="center"/>
              <w:rPr>
                <w:sz w:val="24"/>
                <w:szCs w:val="24"/>
              </w:rPr>
            </w:pPr>
            <w:r w:rsidRPr="00DB3A37">
              <w:rPr>
                <w:rFonts w:hint="eastAsia"/>
                <w:sz w:val="24"/>
                <w:szCs w:val="24"/>
              </w:rPr>
              <w:t>17</w:t>
            </w:r>
          </w:p>
        </w:tc>
        <w:tc>
          <w:tcPr>
            <w:tcW w:w="1305" w:type="dxa"/>
            <w:vAlign w:val="center"/>
          </w:tcPr>
          <w:p w:rsidR="001E4202" w:rsidRPr="00DB3A37" w:rsidRDefault="001014D6">
            <w:pPr>
              <w:jc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94</w:t>
            </w:r>
          </w:p>
        </w:tc>
      </w:tr>
      <w:tr w:rsidR="001E4202">
        <w:trPr>
          <w:trHeight w:val="326"/>
        </w:trPr>
        <w:tc>
          <w:tcPr>
            <w:tcW w:w="924" w:type="dxa"/>
            <w:vMerge/>
            <w:vAlign w:val="center"/>
          </w:tcPr>
          <w:p w:rsidR="001E4202" w:rsidRDefault="001E4202">
            <w:pPr>
              <w:jc w:val="center"/>
              <w:rPr>
                <w:b/>
                <w:bCs/>
                <w:sz w:val="24"/>
                <w:szCs w:val="24"/>
              </w:rPr>
            </w:pPr>
          </w:p>
        </w:tc>
        <w:tc>
          <w:tcPr>
            <w:tcW w:w="1500" w:type="dxa"/>
            <w:vAlign w:val="center"/>
          </w:tcPr>
          <w:p w:rsidR="001E4202" w:rsidRPr="00DB3A37" w:rsidRDefault="001014D6">
            <w:pPr>
              <w:jc w:val="center"/>
              <w:rPr>
                <w:sz w:val="24"/>
                <w:szCs w:val="24"/>
              </w:rPr>
            </w:pPr>
            <w:r>
              <w:rPr>
                <w:rFonts w:hint="eastAsia"/>
                <w:sz w:val="24"/>
                <w:szCs w:val="24"/>
              </w:rPr>
              <w:t>存续金额</w:t>
            </w:r>
            <w:r w:rsidRPr="00DB3A37">
              <w:rPr>
                <w:rFonts w:hint="eastAsia"/>
                <w:sz w:val="24"/>
                <w:szCs w:val="24"/>
              </w:rPr>
              <w:t>(万)</w:t>
            </w:r>
          </w:p>
        </w:tc>
        <w:tc>
          <w:tcPr>
            <w:tcW w:w="1275" w:type="dxa"/>
            <w:vAlign w:val="center"/>
          </w:tcPr>
          <w:p w:rsidR="001E4202" w:rsidRPr="00DB3A37" w:rsidRDefault="001014D6">
            <w:pPr>
              <w:jc w:val="center"/>
              <w:rPr>
                <w:sz w:val="24"/>
                <w:szCs w:val="24"/>
              </w:rPr>
            </w:pPr>
            <w:r w:rsidRPr="00DB3A37">
              <w:rPr>
                <w:rFonts w:hint="eastAsia"/>
                <w:sz w:val="24"/>
                <w:szCs w:val="24"/>
              </w:rPr>
              <w:t>0</w:t>
            </w:r>
          </w:p>
        </w:tc>
        <w:tc>
          <w:tcPr>
            <w:tcW w:w="1065" w:type="dxa"/>
            <w:vAlign w:val="center"/>
          </w:tcPr>
          <w:p w:rsidR="001E4202" w:rsidRPr="00DB3A37" w:rsidRDefault="001014D6">
            <w:pPr>
              <w:jc w:val="center"/>
              <w:rPr>
                <w:sz w:val="24"/>
                <w:szCs w:val="24"/>
              </w:rPr>
            </w:pPr>
            <w:r w:rsidRPr="00DB3A37">
              <w:rPr>
                <w:rFonts w:hint="eastAsia"/>
                <w:sz w:val="24"/>
                <w:szCs w:val="24"/>
              </w:rPr>
              <w:t>865,450</w:t>
            </w:r>
          </w:p>
        </w:tc>
        <w:tc>
          <w:tcPr>
            <w:tcW w:w="1305" w:type="dxa"/>
            <w:vAlign w:val="center"/>
          </w:tcPr>
          <w:p w:rsidR="001E4202" w:rsidRPr="00DB3A37" w:rsidRDefault="001014D6">
            <w:pPr>
              <w:jc w:val="center"/>
              <w:rPr>
                <w:sz w:val="24"/>
                <w:szCs w:val="24"/>
              </w:rPr>
            </w:pPr>
            <w:r w:rsidRPr="00DB3A37">
              <w:rPr>
                <w:rFonts w:hint="eastAsia"/>
                <w:sz w:val="24"/>
                <w:szCs w:val="24"/>
              </w:rPr>
              <w:t>192,058</w:t>
            </w:r>
          </w:p>
        </w:tc>
        <w:tc>
          <w:tcPr>
            <w:tcW w:w="1305" w:type="dxa"/>
            <w:vAlign w:val="center"/>
          </w:tcPr>
          <w:p w:rsidR="001E4202" w:rsidRPr="00DB3A37" w:rsidRDefault="001014D6">
            <w:pPr>
              <w:jc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1,057,508</w:t>
            </w:r>
          </w:p>
        </w:tc>
      </w:tr>
      <w:tr w:rsidR="001E4202">
        <w:tc>
          <w:tcPr>
            <w:tcW w:w="924" w:type="dxa"/>
            <w:vMerge/>
            <w:vAlign w:val="center"/>
          </w:tcPr>
          <w:p w:rsidR="001E4202" w:rsidRDefault="001E4202">
            <w:pPr>
              <w:jc w:val="center"/>
              <w:rPr>
                <w:b/>
                <w:bCs/>
                <w:sz w:val="24"/>
                <w:szCs w:val="24"/>
              </w:rPr>
            </w:pPr>
          </w:p>
        </w:tc>
        <w:tc>
          <w:tcPr>
            <w:tcW w:w="1500" w:type="dxa"/>
            <w:vAlign w:val="center"/>
          </w:tcPr>
          <w:p w:rsidR="001E4202" w:rsidRPr="00DB3A37" w:rsidRDefault="001014D6">
            <w:pPr>
              <w:jc w:val="center"/>
              <w:rPr>
                <w:sz w:val="24"/>
                <w:szCs w:val="24"/>
              </w:rPr>
            </w:pPr>
            <w:r>
              <w:rPr>
                <w:rFonts w:hint="eastAsia"/>
                <w:sz w:val="24"/>
                <w:szCs w:val="24"/>
              </w:rPr>
              <w:t>金额占比</w:t>
            </w:r>
          </w:p>
        </w:tc>
        <w:tc>
          <w:tcPr>
            <w:tcW w:w="1275" w:type="dxa"/>
            <w:vAlign w:val="center"/>
          </w:tcPr>
          <w:p w:rsidR="001E4202" w:rsidRDefault="001014D6">
            <w:pPr>
              <w:jc w:val="center"/>
              <w:textAlignment w:val="center"/>
              <w:rPr>
                <w:sz w:val="24"/>
                <w:szCs w:val="24"/>
              </w:rPr>
            </w:pPr>
            <w:r w:rsidRPr="00DB3A37">
              <w:rPr>
                <w:rFonts w:hint="eastAsia"/>
                <w:sz w:val="24"/>
                <w:szCs w:val="24"/>
              </w:rPr>
              <w:t>0</w:t>
            </w:r>
            <w:r w:rsidRPr="00DB3A37">
              <w:rPr>
                <w:sz w:val="24"/>
                <w:szCs w:val="24"/>
              </w:rPr>
              <w:t>%</w:t>
            </w:r>
          </w:p>
        </w:tc>
        <w:tc>
          <w:tcPr>
            <w:tcW w:w="1065" w:type="dxa"/>
            <w:vAlign w:val="center"/>
          </w:tcPr>
          <w:p w:rsidR="001E4202" w:rsidRDefault="001014D6">
            <w:pPr>
              <w:jc w:val="center"/>
              <w:textAlignment w:val="center"/>
              <w:rPr>
                <w:sz w:val="24"/>
                <w:szCs w:val="24"/>
              </w:rPr>
            </w:pPr>
            <w:r w:rsidRPr="00DB3A37">
              <w:rPr>
                <w:rFonts w:hint="eastAsia"/>
                <w:sz w:val="24"/>
                <w:szCs w:val="24"/>
              </w:rPr>
              <w:t>81.84</w:t>
            </w:r>
            <w:r w:rsidRPr="00DB3A37">
              <w:rPr>
                <w:sz w:val="24"/>
                <w:szCs w:val="24"/>
              </w:rPr>
              <w:t>%</w:t>
            </w:r>
          </w:p>
        </w:tc>
        <w:tc>
          <w:tcPr>
            <w:tcW w:w="1305" w:type="dxa"/>
            <w:vAlign w:val="center"/>
          </w:tcPr>
          <w:p w:rsidR="001E4202" w:rsidRDefault="001014D6">
            <w:pPr>
              <w:jc w:val="center"/>
              <w:textAlignment w:val="center"/>
              <w:rPr>
                <w:sz w:val="24"/>
                <w:szCs w:val="24"/>
              </w:rPr>
            </w:pPr>
            <w:r w:rsidRPr="00DB3A37">
              <w:rPr>
                <w:rFonts w:hint="eastAsia"/>
                <w:sz w:val="24"/>
                <w:szCs w:val="24"/>
              </w:rPr>
              <w:t>18.16</w:t>
            </w:r>
            <w:r w:rsidRPr="00DB3A37">
              <w:rPr>
                <w:sz w:val="24"/>
                <w:szCs w:val="24"/>
              </w:rPr>
              <w:t>%</w:t>
            </w:r>
          </w:p>
        </w:tc>
        <w:tc>
          <w:tcPr>
            <w:tcW w:w="1305" w:type="dxa"/>
            <w:vAlign w:val="center"/>
          </w:tcPr>
          <w:p w:rsidR="001E4202" w:rsidRPr="00DB3A37" w:rsidRDefault="001014D6">
            <w:pPr>
              <w:jc w:val="center"/>
              <w:textAlignment w:val="center"/>
              <w:rPr>
                <w:sz w:val="24"/>
                <w:szCs w:val="24"/>
              </w:rPr>
            </w:pPr>
            <w:r w:rsidRPr="00DB3A37">
              <w:rPr>
                <w:rFonts w:hint="eastAsia"/>
                <w:sz w:val="24"/>
                <w:szCs w:val="24"/>
              </w:rPr>
              <w:t>0</w:t>
            </w:r>
          </w:p>
        </w:tc>
        <w:tc>
          <w:tcPr>
            <w:tcW w:w="1530" w:type="dxa"/>
            <w:vAlign w:val="center"/>
          </w:tcPr>
          <w:p w:rsidR="001E4202" w:rsidRPr="00DB3A37" w:rsidRDefault="001014D6">
            <w:pPr>
              <w:jc w:val="center"/>
              <w:rPr>
                <w:sz w:val="24"/>
                <w:szCs w:val="24"/>
              </w:rPr>
            </w:pPr>
            <w:r w:rsidRPr="00DB3A37">
              <w:rPr>
                <w:rFonts w:hint="eastAsia"/>
                <w:sz w:val="24"/>
                <w:szCs w:val="24"/>
              </w:rPr>
              <w:t>100.00%</w:t>
            </w:r>
          </w:p>
        </w:tc>
      </w:tr>
    </w:tbl>
    <w:p w:rsidR="001E4202" w:rsidRDefault="001014D6">
      <w:pPr>
        <w:widowControl/>
        <w:numPr>
          <w:ilvl w:val="0"/>
          <w:numId w:val="3"/>
        </w:numPr>
        <w:spacing w:line="560" w:lineRule="exact"/>
        <w:rPr>
          <w:rFonts w:ascii="黑体" w:eastAsia="黑体" w:hAnsi="黑体" w:cs="黑体"/>
          <w:bCs/>
          <w:sz w:val="32"/>
          <w:szCs w:val="32"/>
        </w:rPr>
      </w:pPr>
      <w:r>
        <w:rPr>
          <w:rFonts w:ascii="黑体" w:eastAsia="黑体" w:hAnsi="黑体" w:cs="黑体" w:hint="eastAsia"/>
          <w:bCs/>
          <w:sz w:val="32"/>
          <w:szCs w:val="32"/>
        </w:rPr>
        <w:t>理财产品投资资产情况</w:t>
      </w:r>
    </w:p>
    <w:p w:rsidR="001E4202" w:rsidRDefault="001014D6">
      <w:pPr>
        <w:numPr>
          <w:ilvl w:val="0"/>
          <w:numId w:val="4"/>
        </w:numPr>
        <w:outlineLvl w:val="1"/>
        <w:rPr>
          <w:sz w:val="32"/>
          <w:szCs w:val="32"/>
          <w:lang w:val="en-US"/>
        </w:rPr>
      </w:pPr>
      <w:r>
        <w:rPr>
          <w:rFonts w:hint="eastAsia"/>
          <w:sz w:val="32"/>
          <w:szCs w:val="32"/>
          <w:lang w:val="en-US"/>
        </w:rPr>
        <w:t>投资资产种类分布</w:t>
      </w:r>
    </w:p>
    <w:p w:rsidR="001E4202" w:rsidRDefault="001E4202">
      <w:pPr>
        <w:ind w:left="1720"/>
        <w:outlineLvl w:val="1"/>
        <w:rPr>
          <w:sz w:val="32"/>
          <w:szCs w:val="32"/>
        </w:rPr>
      </w:pPr>
    </w:p>
    <w:p w:rsidR="001E4202" w:rsidRDefault="001014D6">
      <w:pPr>
        <w:spacing w:line="560" w:lineRule="exact"/>
        <w:rPr>
          <w:sz w:val="32"/>
          <w:szCs w:val="32"/>
        </w:rPr>
      </w:pPr>
      <w:r>
        <w:rPr>
          <w:rFonts w:hint="eastAsia"/>
          <w:sz w:val="32"/>
          <w:szCs w:val="32"/>
        </w:rPr>
        <w:t xml:space="preserve">     截止201</w:t>
      </w:r>
      <w:r>
        <w:rPr>
          <w:rFonts w:hint="eastAsia"/>
          <w:sz w:val="32"/>
          <w:szCs w:val="32"/>
          <w:lang w:val="en-US"/>
        </w:rPr>
        <w:t>9</w:t>
      </w:r>
      <w:r>
        <w:rPr>
          <w:rFonts w:hint="eastAsia"/>
          <w:sz w:val="32"/>
          <w:szCs w:val="32"/>
        </w:rPr>
        <w:t>年6月30日</w:t>
      </w:r>
      <w:r>
        <w:rPr>
          <w:rFonts w:hint="eastAsia"/>
          <w:sz w:val="32"/>
          <w:szCs w:val="32"/>
          <w:lang w:val="en-US"/>
        </w:rPr>
        <w:t>,</w:t>
      </w:r>
      <w:r>
        <w:rPr>
          <w:rFonts w:hint="eastAsia"/>
          <w:sz w:val="32"/>
          <w:szCs w:val="32"/>
        </w:rPr>
        <w:t>我行理财投资资产余额</w:t>
      </w:r>
      <w:r>
        <w:rPr>
          <w:rFonts w:hint="eastAsia"/>
          <w:sz w:val="32"/>
          <w:szCs w:val="32"/>
          <w:lang w:val="en-US"/>
        </w:rPr>
        <w:t>107.94</w:t>
      </w:r>
      <w:r>
        <w:rPr>
          <w:rFonts w:hint="eastAsia"/>
          <w:sz w:val="32"/>
          <w:szCs w:val="32"/>
        </w:rPr>
        <w:t>亿</w:t>
      </w:r>
      <w:r>
        <w:rPr>
          <w:rFonts w:hint="eastAsia"/>
          <w:sz w:val="32"/>
          <w:szCs w:val="32"/>
          <w:lang w:val="en-US"/>
        </w:rPr>
        <w:t>。详</w:t>
      </w:r>
      <w:r>
        <w:rPr>
          <w:rFonts w:hint="eastAsia"/>
          <w:sz w:val="32"/>
          <w:szCs w:val="32"/>
          <w:lang w:val="en-US"/>
        </w:rPr>
        <w:lastRenderedPageBreak/>
        <w:t>见</w:t>
      </w:r>
      <w:r>
        <w:rPr>
          <w:rFonts w:hint="eastAsia"/>
          <w:sz w:val="32"/>
          <w:szCs w:val="32"/>
        </w:rPr>
        <w:t>理财投资资产分布图：</w:t>
      </w:r>
    </w:p>
    <w:tbl>
      <w:tblPr>
        <w:tblpPr w:leftFromText="180" w:rightFromText="180" w:vertAnchor="text" w:horzAnchor="margin" w:tblpXSpec="right" w:tblpY="299"/>
        <w:tblW w:w="4116" w:type="dxa"/>
        <w:tblLayout w:type="fixed"/>
        <w:tblLook w:val="04A0"/>
      </w:tblPr>
      <w:tblGrid>
        <w:gridCol w:w="1446"/>
        <w:gridCol w:w="1536"/>
        <w:gridCol w:w="1134"/>
      </w:tblGrid>
      <w:tr w:rsidR="001E4202">
        <w:trPr>
          <w:trHeight w:val="465"/>
        </w:trPr>
        <w:tc>
          <w:tcPr>
            <w:tcW w:w="144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E4202" w:rsidRDefault="001014D6">
            <w:pPr>
              <w:widowControl/>
              <w:jc w:val="center"/>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资产类型</w:t>
            </w:r>
          </w:p>
        </w:tc>
        <w:tc>
          <w:tcPr>
            <w:tcW w:w="1536" w:type="dxa"/>
            <w:tcBorders>
              <w:top w:val="single" w:sz="4" w:space="0" w:color="000000"/>
              <w:left w:val="nil"/>
              <w:bottom w:val="single" w:sz="4" w:space="0" w:color="000000"/>
              <w:right w:val="single" w:sz="4" w:space="0" w:color="000000"/>
            </w:tcBorders>
            <w:shd w:val="clear" w:color="000000" w:fill="FFFFFF"/>
            <w:vAlign w:val="center"/>
          </w:tcPr>
          <w:p w:rsidR="001E4202" w:rsidRDefault="001014D6">
            <w:pPr>
              <w:widowControl/>
              <w:jc w:val="center"/>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金额（万元）</w:t>
            </w:r>
          </w:p>
        </w:tc>
        <w:tc>
          <w:tcPr>
            <w:tcW w:w="1134" w:type="dxa"/>
            <w:tcBorders>
              <w:top w:val="single" w:sz="4" w:space="0" w:color="000000"/>
              <w:left w:val="nil"/>
              <w:bottom w:val="single" w:sz="4" w:space="0" w:color="000000"/>
              <w:right w:val="single" w:sz="4" w:space="0" w:color="000000"/>
            </w:tcBorders>
            <w:shd w:val="clear" w:color="000000" w:fill="FFFFFF"/>
            <w:vAlign w:val="center"/>
          </w:tcPr>
          <w:p w:rsidR="001E4202" w:rsidRDefault="001014D6">
            <w:pPr>
              <w:widowControl/>
              <w:jc w:val="center"/>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占比</w:t>
            </w:r>
          </w:p>
        </w:tc>
      </w:tr>
      <w:tr w:rsidR="001E4202">
        <w:trPr>
          <w:trHeight w:val="465"/>
        </w:trPr>
        <w:tc>
          <w:tcPr>
            <w:tcW w:w="1446" w:type="dxa"/>
            <w:tcBorders>
              <w:top w:val="nil"/>
              <w:left w:val="single" w:sz="4" w:space="0" w:color="000000"/>
              <w:bottom w:val="single" w:sz="4" w:space="0" w:color="000000"/>
              <w:right w:val="single" w:sz="4" w:space="0" w:color="000000"/>
            </w:tcBorders>
            <w:vAlign w:val="center"/>
          </w:tcPr>
          <w:p w:rsidR="001E4202" w:rsidRDefault="001014D6">
            <w:pPr>
              <w:widowControl/>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债券类资产</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479,231.66</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44.39%</w:t>
            </w:r>
          </w:p>
        </w:tc>
      </w:tr>
      <w:tr w:rsidR="001E4202">
        <w:trPr>
          <w:trHeight w:val="465"/>
        </w:trPr>
        <w:tc>
          <w:tcPr>
            <w:tcW w:w="1446" w:type="dxa"/>
            <w:tcBorders>
              <w:top w:val="nil"/>
              <w:left w:val="single" w:sz="4" w:space="0" w:color="000000"/>
              <w:bottom w:val="single" w:sz="4" w:space="0" w:color="000000"/>
              <w:right w:val="single" w:sz="4" w:space="0" w:color="000000"/>
            </w:tcBorders>
            <w:vAlign w:val="center"/>
          </w:tcPr>
          <w:p w:rsidR="001E4202" w:rsidRDefault="001014D6">
            <w:pPr>
              <w:widowControl/>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存款类资产</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104,830.29</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9.72%</w:t>
            </w:r>
          </w:p>
        </w:tc>
      </w:tr>
      <w:tr w:rsidR="001E4202">
        <w:trPr>
          <w:trHeight w:val="465"/>
        </w:trPr>
        <w:tc>
          <w:tcPr>
            <w:tcW w:w="1446" w:type="dxa"/>
            <w:tcBorders>
              <w:top w:val="nil"/>
              <w:left w:val="single" w:sz="4" w:space="0" w:color="000000"/>
              <w:bottom w:val="single" w:sz="4" w:space="0" w:color="000000"/>
              <w:right w:val="single" w:sz="4" w:space="0" w:color="000000"/>
            </w:tcBorders>
            <w:vAlign w:val="center"/>
          </w:tcPr>
          <w:p w:rsidR="001E4202" w:rsidRDefault="001014D6">
            <w:pPr>
              <w:widowControl/>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非标资产</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192,190.25</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17.79%</w:t>
            </w:r>
          </w:p>
        </w:tc>
      </w:tr>
      <w:tr w:rsidR="001E4202">
        <w:trPr>
          <w:trHeight w:val="465"/>
        </w:trPr>
        <w:tc>
          <w:tcPr>
            <w:tcW w:w="1446" w:type="dxa"/>
            <w:tcBorders>
              <w:top w:val="nil"/>
              <w:left w:val="single" w:sz="4" w:space="0" w:color="000000"/>
              <w:bottom w:val="single" w:sz="4" w:space="0" w:color="000000"/>
              <w:right w:val="single" w:sz="4" w:space="0" w:color="000000"/>
            </w:tcBorders>
            <w:vAlign w:val="center"/>
          </w:tcPr>
          <w:p w:rsidR="001E4202" w:rsidRDefault="00C822CD">
            <w:pPr>
              <w:widowControl/>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集合</w:t>
            </w:r>
            <w:r w:rsidR="001014D6">
              <w:rPr>
                <w:rFonts w:ascii="宋体" w:eastAsia="宋体" w:hAnsi="宋体" w:cs="宋体" w:hint="eastAsia"/>
                <w:color w:val="000000"/>
                <w:sz w:val="18"/>
                <w:szCs w:val="18"/>
                <w:lang w:val="en-US" w:bidi="ar-SA"/>
              </w:rPr>
              <w:t>信托计划</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204,486.00</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18.95%</w:t>
            </w:r>
          </w:p>
        </w:tc>
      </w:tr>
      <w:tr w:rsidR="001E4202">
        <w:trPr>
          <w:trHeight w:val="465"/>
        </w:trPr>
        <w:tc>
          <w:tcPr>
            <w:tcW w:w="1446" w:type="dxa"/>
            <w:tcBorders>
              <w:top w:val="nil"/>
              <w:left w:val="single" w:sz="4" w:space="0" w:color="000000"/>
              <w:bottom w:val="single" w:sz="4" w:space="0" w:color="000000"/>
              <w:right w:val="single" w:sz="4" w:space="0" w:color="000000"/>
            </w:tcBorders>
            <w:vAlign w:val="center"/>
          </w:tcPr>
          <w:p w:rsidR="001E4202" w:rsidRDefault="001014D6">
            <w:pPr>
              <w:widowControl/>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流动性资产</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98,693.88</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9.15%</w:t>
            </w:r>
          </w:p>
        </w:tc>
      </w:tr>
      <w:tr w:rsidR="001E4202">
        <w:trPr>
          <w:trHeight w:val="420"/>
        </w:trPr>
        <w:tc>
          <w:tcPr>
            <w:tcW w:w="1446" w:type="dxa"/>
            <w:tcBorders>
              <w:top w:val="nil"/>
              <w:left w:val="single" w:sz="4" w:space="0" w:color="000000"/>
              <w:bottom w:val="single" w:sz="4" w:space="0" w:color="000000"/>
              <w:right w:val="single" w:sz="4" w:space="0" w:color="000000"/>
            </w:tcBorders>
            <w:vAlign w:val="center"/>
          </w:tcPr>
          <w:p w:rsidR="001E4202" w:rsidRDefault="001014D6">
            <w:pPr>
              <w:widowControl/>
              <w:jc w:val="center"/>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合计</w:t>
            </w:r>
          </w:p>
        </w:tc>
        <w:tc>
          <w:tcPr>
            <w:tcW w:w="1536"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1,079,432.08</w:t>
            </w:r>
          </w:p>
        </w:tc>
        <w:tc>
          <w:tcPr>
            <w:tcW w:w="1134" w:type="dxa"/>
            <w:tcBorders>
              <w:top w:val="nil"/>
              <w:left w:val="nil"/>
              <w:bottom w:val="single" w:sz="4" w:space="0" w:color="000000"/>
              <w:right w:val="single" w:sz="4" w:space="0" w:color="000000"/>
            </w:tcBorders>
            <w:vAlign w:val="center"/>
          </w:tcPr>
          <w:p w:rsidR="001E4202" w:rsidRDefault="001014D6" w:rsidP="001E7AB9">
            <w:pPr>
              <w:widowControl/>
              <w:jc w:val="right"/>
              <w:rPr>
                <w:rFonts w:ascii="宋体" w:eastAsia="宋体" w:hAnsi="宋体" w:cs="宋体"/>
                <w:color w:val="000000"/>
                <w:sz w:val="18"/>
                <w:szCs w:val="18"/>
                <w:lang w:val="en-US" w:bidi="ar-SA"/>
              </w:rPr>
            </w:pPr>
            <w:r>
              <w:rPr>
                <w:rFonts w:ascii="宋体" w:eastAsia="宋体" w:hAnsi="宋体" w:cs="宋体" w:hint="eastAsia"/>
                <w:color w:val="000000"/>
                <w:sz w:val="18"/>
                <w:szCs w:val="18"/>
                <w:lang w:val="en-US" w:bidi="ar-SA"/>
              </w:rPr>
              <w:t>100.00%</w:t>
            </w:r>
          </w:p>
        </w:tc>
      </w:tr>
    </w:tbl>
    <w:p w:rsidR="001E4202" w:rsidRDefault="001E4202">
      <w:pPr>
        <w:spacing w:line="560" w:lineRule="exact"/>
        <w:ind w:firstLineChars="200" w:firstLine="440"/>
      </w:pPr>
    </w:p>
    <w:p w:rsidR="001E4202" w:rsidRDefault="001E7AB9">
      <w:pPr>
        <w:rPr>
          <w:sz w:val="32"/>
          <w:szCs w:val="32"/>
          <w:lang w:val="en-US" w:bidi="ar-SA"/>
        </w:rPr>
      </w:pPr>
      <w:r w:rsidRPr="00D86568">
        <w:rPr>
          <w:sz w:val="32"/>
          <w:szCs w:val="32"/>
          <w:lang w:val="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3.65pt;height:149.45pt">
            <v:imagedata r:id="rId8" o:title="" cropbottom="-55f"/>
            <o:lock v:ext="edit" aspectratio="f"/>
          </v:shape>
        </w:pict>
      </w:r>
    </w:p>
    <w:p w:rsidR="001E4202" w:rsidRDefault="001E4202">
      <w:pPr>
        <w:rPr>
          <w:sz w:val="32"/>
          <w:szCs w:val="32"/>
          <w:lang w:val="en-US" w:bidi="ar-SA"/>
        </w:rPr>
      </w:pPr>
    </w:p>
    <w:p w:rsidR="001E4202" w:rsidRDefault="001E4202">
      <w:pPr>
        <w:ind w:firstLineChars="275" w:firstLine="880"/>
        <w:rPr>
          <w:sz w:val="32"/>
          <w:szCs w:val="32"/>
          <w:lang w:val="en-US"/>
        </w:rPr>
      </w:pPr>
    </w:p>
    <w:p w:rsidR="001E4202" w:rsidRDefault="001014D6">
      <w:pPr>
        <w:numPr>
          <w:ilvl w:val="0"/>
          <w:numId w:val="5"/>
        </w:numPr>
        <w:ind w:firstLineChars="200" w:firstLine="640"/>
        <w:outlineLvl w:val="1"/>
        <w:rPr>
          <w:sz w:val="32"/>
          <w:szCs w:val="32"/>
          <w:lang w:val="en-US"/>
        </w:rPr>
      </w:pPr>
      <w:r>
        <w:rPr>
          <w:rFonts w:hint="eastAsia"/>
          <w:sz w:val="32"/>
          <w:szCs w:val="32"/>
          <w:lang w:val="en-US"/>
        </w:rPr>
        <w:t>非标准债权类资产</w:t>
      </w:r>
    </w:p>
    <w:p w:rsidR="001E4202" w:rsidRDefault="0095143E">
      <w:pPr>
        <w:outlineLvl w:val="1"/>
        <w:rPr>
          <w:sz w:val="32"/>
          <w:szCs w:val="32"/>
          <w:lang w:val="en-US"/>
        </w:rPr>
      </w:pPr>
      <w:r>
        <w:rPr>
          <w:rFonts w:hint="eastAsia"/>
          <w:sz w:val="32"/>
          <w:szCs w:val="32"/>
        </w:rPr>
        <w:t xml:space="preserve">     </w:t>
      </w:r>
      <w:r w:rsidR="001014D6">
        <w:rPr>
          <w:rFonts w:hint="eastAsia"/>
          <w:sz w:val="32"/>
          <w:szCs w:val="32"/>
        </w:rPr>
        <w:t>截止201</w:t>
      </w:r>
      <w:r w:rsidR="001014D6">
        <w:rPr>
          <w:rFonts w:hint="eastAsia"/>
          <w:sz w:val="32"/>
          <w:szCs w:val="32"/>
          <w:lang w:val="en-US"/>
        </w:rPr>
        <w:t>9</w:t>
      </w:r>
      <w:r w:rsidR="001014D6">
        <w:rPr>
          <w:rFonts w:hint="eastAsia"/>
          <w:sz w:val="32"/>
          <w:szCs w:val="32"/>
        </w:rPr>
        <w:t>年6月30日</w:t>
      </w:r>
      <w:r w:rsidR="001014D6">
        <w:rPr>
          <w:rFonts w:hint="eastAsia"/>
          <w:sz w:val="32"/>
          <w:szCs w:val="32"/>
          <w:lang w:val="en-US"/>
        </w:rPr>
        <w:t>,</w:t>
      </w:r>
      <w:r w:rsidR="001014D6">
        <w:rPr>
          <w:rFonts w:hint="eastAsia"/>
          <w:sz w:val="32"/>
          <w:szCs w:val="32"/>
        </w:rPr>
        <w:t>我行理财投资非标准债权资产余额为</w:t>
      </w:r>
      <w:r w:rsidR="001014D6">
        <w:rPr>
          <w:rFonts w:hint="eastAsia"/>
          <w:sz w:val="32"/>
          <w:szCs w:val="32"/>
          <w:lang w:val="en-US"/>
        </w:rPr>
        <w:t>19.21亿元。</w:t>
      </w:r>
      <w:r w:rsidR="001014D6">
        <w:rPr>
          <w:rFonts w:hint="eastAsia"/>
          <w:sz w:val="32"/>
          <w:szCs w:val="32"/>
        </w:rPr>
        <w:t>资产情况详见下表：</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285"/>
        <w:gridCol w:w="5113"/>
      </w:tblGrid>
      <w:tr w:rsidR="001E4202" w:rsidTr="007F5EA1">
        <w:tc>
          <w:tcPr>
            <w:tcW w:w="1849" w:type="dxa"/>
          </w:tcPr>
          <w:p w:rsidR="001E4202" w:rsidRPr="007F5EA1" w:rsidRDefault="001014D6" w:rsidP="007F5EA1">
            <w:pPr>
              <w:jc w:val="center"/>
              <w:outlineLvl w:val="1"/>
              <w:rPr>
                <w:b/>
                <w:bCs/>
                <w:sz w:val="24"/>
                <w:szCs w:val="24"/>
                <w:lang w:val="en-US"/>
              </w:rPr>
            </w:pPr>
            <w:r w:rsidRPr="007F5EA1">
              <w:rPr>
                <w:rFonts w:hint="eastAsia"/>
                <w:b/>
                <w:bCs/>
                <w:sz w:val="24"/>
                <w:szCs w:val="24"/>
                <w:lang w:val="en-US"/>
              </w:rPr>
              <w:t>资产名称</w:t>
            </w:r>
          </w:p>
        </w:tc>
        <w:tc>
          <w:tcPr>
            <w:tcW w:w="2285" w:type="dxa"/>
          </w:tcPr>
          <w:p w:rsidR="001E4202" w:rsidRPr="007F5EA1" w:rsidRDefault="001014D6" w:rsidP="007F5EA1">
            <w:pPr>
              <w:jc w:val="center"/>
              <w:outlineLvl w:val="1"/>
              <w:rPr>
                <w:b/>
                <w:bCs/>
                <w:sz w:val="24"/>
                <w:szCs w:val="24"/>
                <w:lang w:val="en-US"/>
              </w:rPr>
            </w:pPr>
            <w:r w:rsidRPr="007F5EA1">
              <w:rPr>
                <w:rFonts w:hint="eastAsia"/>
                <w:b/>
                <w:bCs/>
                <w:sz w:val="24"/>
                <w:szCs w:val="24"/>
                <w:lang w:val="en-US"/>
              </w:rPr>
              <w:t>金额（万元）</w:t>
            </w:r>
          </w:p>
        </w:tc>
        <w:tc>
          <w:tcPr>
            <w:tcW w:w="5113" w:type="dxa"/>
          </w:tcPr>
          <w:p w:rsidR="001E4202" w:rsidRPr="007F5EA1" w:rsidRDefault="00507958" w:rsidP="007F5EA1">
            <w:pPr>
              <w:jc w:val="center"/>
              <w:outlineLvl w:val="1"/>
              <w:rPr>
                <w:b/>
                <w:bCs/>
                <w:sz w:val="24"/>
                <w:szCs w:val="24"/>
                <w:lang w:val="en-US"/>
              </w:rPr>
            </w:pPr>
            <w:r w:rsidRPr="007F5EA1">
              <w:rPr>
                <w:rFonts w:hint="eastAsia"/>
                <w:b/>
                <w:bCs/>
                <w:sz w:val="24"/>
                <w:szCs w:val="24"/>
                <w:lang w:val="en-US"/>
              </w:rPr>
              <w:t>投资标的</w:t>
            </w:r>
          </w:p>
        </w:tc>
      </w:tr>
      <w:tr w:rsidR="008A64FA" w:rsidTr="007F5EA1">
        <w:tc>
          <w:tcPr>
            <w:tcW w:w="1849" w:type="dxa"/>
          </w:tcPr>
          <w:p w:rsidR="008A64FA" w:rsidRPr="007F5EA1" w:rsidRDefault="002545D9" w:rsidP="00DB3A37">
            <w:pPr>
              <w:rPr>
                <w:sz w:val="24"/>
                <w:szCs w:val="24"/>
              </w:rPr>
            </w:pPr>
            <w:r w:rsidRPr="007F5EA1">
              <w:rPr>
                <w:rFonts w:hint="eastAsia"/>
                <w:sz w:val="24"/>
                <w:szCs w:val="24"/>
              </w:rPr>
              <w:t>德</w:t>
            </w:r>
            <w:r w:rsidRPr="007F5EA1">
              <w:rPr>
                <w:sz w:val="24"/>
                <w:szCs w:val="24"/>
              </w:rPr>
              <w:t>邺</w:t>
            </w:r>
            <w:r w:rsidRPr="007F5EA1">
              <w:rPr>
                <w:rFonts w:hint="eastAsia"/>
                <w:sz w:val="24"/>
                <w:szCs w:val="24"/>
              </w:rPr>
              <w:t>定向资产管理计划</w:t>
            </w:r>
          </w:p>
        </w:tc>
        <w:tc>
          <w:tcPr>
            <w:tcW w:w="2285" w:type="dxa"/>
          </w:tcPr>
          <w:p w:rsidR="00325DD1" w:rsidRPr="007F5EA1" w:rsidRDefault="002545D9" w:rsidP="007F5EA1">
            <w:pPr>
              <w:outlineLvl w:val="1"/>
              <w:rPr>
                <w:sz w:val="24"/>
                <w:szCs w:val="24"/>
              </w:rPr>
            </w:pPr>
            <w:r w:rsidRPr="007F5EA1">
              <w:rPr>
                <w:rFonts w:hint="eastAsia"/>
                <w:sz w:val="24"/>
                <w:szCs w:val="24"/>
              </w:rPr>
              <w:t xml:space="preserve">    </w:t>
            </w:r>
          </w:p>
          <w:p w:rsidR="008A64FA" w:rsidRPr="007F5EA1" w:rsidRDefault="00325DD1" w:rsidP="007F5EA1">
            <w:pPr>
              <w:outlineLvl w:val="1"/>
              <w:rPr>
                <w:sz w:val="24"/>
                <w:szCs w:val="24"/>
              </w:rPr>
            </w:pPr>
            <w:r w:rsidRPr="007F5EA1">
              <w:rPr>
                <w:rFonts w:hint="eastAsia"/>
                <w:sz w:val="24"/>
                <w:szCs w:val="24"/>
              </w:rPr>
              <w:t xml:space="preserve">    </w:t>
            </w:r>
            <w:r w:rsidR="00403237" w:rsidRPr="007F5EA1">
              <w:rPr>
                <w:rFonts w:hint="eastAsia"/>
                <w:sz w:val="24"/>
                <w:szCs w:val="24"/>
              </w:rPr>
              <w:t>37</w:t>
            </w:r>
            <w:r w:rsidR="00C822CD" w:rsidRPr="007F5EA1">
              <w:rPr>
                <w:rFonts w:hint="eastAsia"/>
                <w:sz w:val="24"/>
                <w:szCs w:val="24"/>
              </w:rPr>
              <w:t>,</w:t>
            </w:r>
            <w:r w:rsidR="00403237" w:rsidRPr="007F5EA1">
              <w:rPr>
                <w:rFonts w:hint="eastAsia"/>
                <w:sz w:val="24"/>
                <w:szCs w:val="24"/>
              </w:rPr>
              <w:t>700.00</w:t>
            </w:r>
          </w:p>
        </w:tc>
        <w:tc>
          <w:tcPr>
            <w:tcW w:w="5113" w:type="dxa"/>
          </w:tcPr>
          <w:p w:rsidR="008A64FA" w:rsidRPr="007F5EA1" w:rsidRDefault="00FC4972" w:rsidP="007F5EA1">
            <w:pPr>
              <w:outlineLvl w:val="1"/>
              <w:rPr>
                <w:sz w:val="24"/>
                <w:szCs w:val="24"/>
              </w:rPr>
            </w:pPr>
            <w:r w:rsidRPr="007F5EA1">
              <w:rPr>
                <w:rFonts w:hint="eastAsia"/>
                <w:sz w:val="24"/>
                <w:szCs w:val="24"/>
              </w:rPr>
              <w:t>投资于</w:t>
            </w:r>
            <w:r w:rsidR="008A64FA" w:rsidRPr="007F5EA1">
              <w:rPr>
                <w:rFonts w:hint="eastAsia"/>
                <w:sz w:val="24"/>
                <w:szCs w:val="24"/>
              </w:rPr>
              <w:t>贵阳市建设投资控股有限公司开发的贵阳市双龙临空经济区见龙洞路及延伸段</w:t>
            </w:r>
          </w:p>
        </w:tc>
      </w:tr>
      <w:tr w:rsidR="001E4202" w:rsidTr="007F5EA1">
        <w:tc>
          <w:tcPr>
            <w:tcW w:w="1849" w:type="dxa"/>
          </w:tcPr>
          <w:p w:rsidR="001E4202" w:rsidRPr="007F5EA1" w:rsidRDefault="008A64FA" w:rsidP="00DB3A37">
            <w:pPr>
              <w:rPr>
                <w:sz w:val="24"/>
                <w:szCs w:val="24"/>
              </w:rPr>
            </w:pPr>
            <w:bookmarkStart w:id="1" w:name="_GoBack"/>
            <w:bookmarkEnd w:id="1"/>
            <w:r w:rsidRPr="007F5EA1">
              <w:rPr>
                <w:rFonts w:hint="eastAsia"/>
                <w:sz w:val="24"/>
                <w:szCs w:val="24"/>
              </w:rPr>
              <w:t>国信证券盛世</w:t>
            </w:r>
            <w:r w:rsidRPr="007F5EA1">
              <w:rPr>
                <w:sz w:val="24"/>
                <w:szCs w:val="24"/>
              </w:rPr>
              <w:t>3号定向资产管理计划</w:t>
            </w:r>
          </w:p>
        </w:tc>
        <w:tc>
          <w:tcPr>
            <w:tcW w:w="2285" w:type="dxa"/>
          </w:tcPr>
          <w:p w:rsidR="00325DD1" w:rsidRPr="007F5EA1" w:rsidRDefault="002545D9" w:rsidP="00DB3A37">
            <w:pPr>
              <w:rPr>
                <w:sz w:val="24"/>
                <w:szCs w:val="24"/>
              </w:rPr>
            </w:pPr>
            <w:r w:rsidRPr="007F5EA1">
              <w:rPr>
                <w:rFonts w:hint="eastAsia"/>
                <w:sz w:val="24"/>
                <w:szCs w:val="24"/>
              </w:rPr>
              <w:t xml:space="preserve">    </w:t>
            </w:r>
          </w:p>
          <w:p w:rsidR="001E4202" w:rsidRPr="007F5EA1" w:rsidRDefault="00325DD1" w:rsidP="00DB3A37">
            <w:pPr>
              <w:rPr>
                <w:sz w:val="24"/>
                <w:szCs w:val="24"/>
              </w:rPr>
            </w:pPr>
            <w:r w:rsidRPr="007F5EA1">
              <w:rPr>
                <w:rFonts w:hint="eastAsia"/>
                <w:sz w:val="24"/>
                <w:szCs w:val="24"/>
              </w:rPr>
              <w:t xml:space="preserve">    </w:t>
            </w:r>
            <w:r w:rsidR="00403237" w:rsidRPr="007F5EA1">
              <w:rPr>
                <w:rFonts w:hint="eastAsia"/>
                <w:sz w:val="24"/>
                <w:szCs w:val="24"/>
              </w:rPr>
              <w:t>25</w:t>
            </w:r>
            <w:r w:rsidR="00C822CD" w:rsidRPr="007F5EA1">
              <w:rPr>
                <w:rFonts w:hint="eastAsia"/>
                <w:sz w:val="24"/>
                <w:szCs w:val="24"/>
              </w:rPr>
              <w:t>,</w:t>
            </w:r>
            <w:r w:rsidR="00403237" w:rsidRPr="007F5EA1">
              <w:rPr>
                <w:rFonts w:hint="eastAsia"/>
                <w:sz w:val="24"/>
                <w:szCs w:val="24"/>
              </w:rPr>
              <w:t>000.00</w:t>
            </w:r>
          </w:p>
        </w:tc>
        <w:tc>
          <w:tcPr>
            <w:tcW w:w="5113" w:type="dxa"/>
          </w:tcPr>
          <w:p w:rsidR="001E4202" w:rsidRPr="007F5EA1" w:rsidRDefault="00FC4972" w:rsidP="00DB3A37">
            <w:pPr>
              <w:rPr>
                <w:sz w:val="24"/>
                <w:szCs w:val="24"/>
              </w:rPr>
            </w:pPr>
            <w:r w:rsidRPr="007F5EA1">
              <w:rPr>
                <w:rFonts w:hint="eastAsia"/>
                <w:sz w:val="24"/>
                <w:szCs w:val="24"/>
              </w:rPr>
              <w:t>投资于</w:t>
            </w:r>
            <w:r w:rsidR="008A64FA" w:rsidRPr="007F5EA1">
              <w:rPr>
                <w:rFonts w:hint="eastAsia"/>
                <w:sz w:val="24"/>
                <w:szCs w:val="24"/>
              </w:rPr>
              <w:t>道真仡佬族苗族自治县“十三五”期间撤并建制村通沥青（水泥）</w:t>
            </w:r>
          </w:p>
        </w:tc>
      </w:tr>
      <w:tr w:rsidR="001E4202" w:rsidTr="007F5EA1">
        <w:tc>
          <w:tcPr>
            <w:tcW w:w="1849" w:type="dxa"/>
          </w:tcPr>
          <w:p w:rsidR="001E4202" w:rsidRPr="007F5EA1" w:rsidRDefault="008A64FA" w:rsidP="00DB3A37">
            <w:pPr>
              <w:rPr>
                <w:sz w:val="24"/>
                <w:szCs w:val="24"/>
              </w:rPr>
            </w:pPr>
            <w:r w:rsidRPr="007F5EA1">
              <w:rPr>
                <w:rFonts w:hint="eastAsia"/>
                <w:sz w:val="24"/>
                <w:szCs w:val="24"/>
              </w:rPr>
              <w:t>国信证券盛世</w:t>
            </w:r>
            <w:r w:rsidRPr="007F5EA1">
              <w:rPr>
                <w:sz w:val="24"/>
                <w:szCs w:val="24"/>
              </w:rPr>
              <w:t>3号定向资产管理计划</w:t>
            </w:r>
          </w:p>
        </w:tc>
        <w:tc>
          <w:tcPr>
            <w:tcW w:w="2285" w:type="dxa"/>
          </w:tcPr>
          <w:p w:rsidR="00325DD1" w:rsidRPr="007F5EA1" w:rsidRDefault="002545D9" w:rsidP="00DB3A37">
            <w:pPr>
              <w:rPr>
                <w:sz w:val="24"/>
                <w:szCs w:val="24"/>
              </w:rPr>
            </w:pPr>
            <w:r w:rsidRPr="007F5EA1">
              <w:rPr>
                <w:rFonts w:hint="eastAsia"/>
                <w:sz w:val="24"/>
                <w:szCs w:val="24"/>
              </w:rPr>
              <w:t xml:space="preserve">   </w:t>
            </w:r>
          </w:p>
          <w:p w:rsidR="001E4202" w:rsidRPr="007F5EA1" w:rsidRDefault="00325DD1" w:rsidP="00DB3A37">
            <w:pPr>
              <w:rPr>
                <w:sz w:val="24"/>
                <w:szCs w:val="24"/>
              </w:rPr>
            </w:pPr>
            <w:r w:rsidRPr="007F5EA1">
              <w:rPr>
                <w:rFonts w:hint="eastAsia"/>
                <w:sz w:val="24"/>
                <w:szCs w:val="24"/>
              </w:rPr>
              <w:t xml:space="preserve">   </w:t>
            </w:r>
            <w:r w:rsidR="002545D9" w:rsidRPr="007F5EA1">
              <w:rPr>
                <w:rFonts w:hint="eastAsia"/>
                <w:sz w:val="24"/>
                <w:szCs w:val="24"/>
              </w:rPr>
              <w:t xml:space="preserve"> </w:t>
            </w:r>
            <w:r w:rsidR="00403237" w:rsidRPr="007F5EA1">
              <w:rPr>
                <w:rFonts w:hint="eastAsia"/>
                <w:sz w:val="24"/>
                <w:szCs w:val="24"/>
              </w:rPr>
              <w:t>8</w:t>
            </w:r>
            <w:r w:rsidR="00C822CD" w:rsidRPr="007F5EA1">
              <w:rPr>
                <w:rFonts w:hint="eastAsia"/>
                <w:sz w:val="24"/>
                <w:szCs w:val="24"/>
              </w:rPr>
              <w:t>,</w:t>
            </w:r>
            <w:r w:rsidR="00403237" w:rsidRPr="007F5EA1">
              <w:rPr>
                <w:rFonts w:hint="eastAsia"/>
                <w:sz w:val="24"/>
                <w:szCs w:val="24"/>
              </w:rPr>
              <w:t>000.00</w:t>
            </w:r>
          </w:p>
        </w:tc>
        <w:tc>
          <w:tcPr>
            <w:tcW w:w="5113" w:type="dxa"/>
          </w:tcPr>
          <w:p w:rsidR="001E4202" w:rsidRPr="007F5EA1" w:rsidRDefault="008A64FA" w:rsidP="00DB3A37">
            <w:pPr>
              <w:rPr>
                <w:sz w:val="24"/>
                <w:szCs w:val="24"/>
              </w:rPr>
            </w:pPr>
            <w:r w:rsidRPr="007F5EA1">
              <w:rPr>
                <w:rFonts w:hint="eastAsia"/>
                <w:sz w:val="24"/>
                <w:szCs w:val="24"/>
              </w:rPr>
              <w:t>榕江县农村公路管理局的榕江县</w:t>
            </w:r>
            <w:r w:rsidRPr="007F5EA1">
              <w:rPr>
                <w:sz w:val="24"/>
                <w:szCs w:val="24"/>
              </w:rPr>
              <w:t>2015年第一批提前实施通村油（水泥）路</w:t>
            </w:r>
          </w:p>
        </w:tc>
      </w:tr>
      <w:tr w:rsidR="001E4202" w:rsidTr="007F5EA1">
        <w:tc>
          <w:tcPr>
            <w:tcW w:w="1849" w:type="dxa"/>
          </w:tcPr>
          <w:p w:rsidR="001E4202" w:rsidRPr="007F5EA1" w:rsidRDefault="008A64FA" w:rsidP="00DB3A37">
            <w:pPr>
              <w:rPr>
                <w:sz w:val="24"/>
                <w:szCs w:val="24"/>
              </w:rPr>
            </w:pPr>
            <w:r w:rsidRPr="007F5EA1">
              <w:rPr>
                <w:rFonts w:hint="eastAsia"/>
                <w:sz w:val="24"/>
                <w:szCs w:val="24"/>
              </w:rPr>
              <w:t>国信证券盛世</w:t>
            </w:r>
            <w:r w:rsidRPr="007F5EA1">
              <w:rPr>
                <w:sz w:val="24"/>
                <w:szCs w:val="24"/>
              </w:rPr>
              <w:t>3号定向资产管理计划</w:t>
            </w:r>
          </w:p>
        </w:tc>
        <w:tc>
          <w:tcPr>
            <w:tcW w:w="2285" w:type="dxa"/>
          </w:tcPr>
          <w:p w:rsidR="00325DD1" w:rsidRPr="007F5EA1" w:rsidRDefault="002545D9" w:rsidP="00DB3A37">
            <w:pPr>
              <w:rPr>
                <w:sz w:val="24"/>
                <w:szCs w:val="24"/>
              </w:rPr>
            </w:pPr>
            <w:r w:rsidRPr="007F5EA1">
              <w:rPr>
                <w:rFonts w:hint="eastAsia"/>
                <w:sz w:val="24"/>
                <w:szCs w:val="24"/>
              </w:rPr>
              <w:t xml:space="preserve">    </w:t>
            </w:r>
          </w:p>
          <w:p w:rsidR="00403237" w:rsidRPr="007F5EA1" w:rsidRDefault="00325DD1" w:rsidP="00DB3A37">
            <w:pPr>
              <w:rPr>
                <w:sz w:val="24"/>
                <w:szCs w:val="24"/>
              </w:rPr>
            </w:pPr>
            <w:r w:rsidRPr="007F5EA1">
              <w:rPr>
                <w:rFonts w:hint="eastAsia"/>
                <w:sz w:val="24"/>
                <w:szCs w:val="24"/>
              </w:rPr>
              <w:t xml:space="preserve">    </w:t>
            </w:r>
            <w:r w:rsidR="00403237" w:rsidRPr="007F5EA1">
              <w:rPr>
                <w:rFonts w:hint="eastAsia"/>
                <w:sz w:val="24"/>
                <w:szCs w:val="24"/>
              </w:rPr>
              <w:t>15</w:t>
            </w:r>
            <w:r w:rsidR="00C822CD" w:rsidRPr="007F5EA1">
              <w:rPr>
                <w:rFonts w:hint="eastAsia"/>
                <w:sz w:val="24"/>
                <w:szCs w:val="24"/>
              </w:rPr>
              <w:t>,</w:t>
            </w:r>
            <w:r w:rsidR="00403237" w:rsidRPr="007F5EA1">
              <w:rPr>
                <w:rFonts w:hint="eastAsia"/>
                <w:sz w:val="24"/>
                <w:szCs w:val="24"/>
              </w:rPr>
              <w:t>000.00</w:t>
            </w:r>
          </w:p>
        </w:tc>
        <w:tc>
          <w:tcPr>
            <w:tcW w:w="5113" w:type="dxa"/>
          </w:tcPr>
          <w:p w:rsidR="001E4202" w:rsidRPr="007F5EA1" w:rsidRDefault="00FC4972" w:rsidP="00DB3A37">
            <w:pPr>
              <w:rPr>
                <w:sz w:val="24"/>
                <w:szCs w:val="24"/>
              </w:rPr>
            </w:pPr>
            <w:r w:rsidRPr="007F5EA1">
              <w:rPr>
                <w:rFonts w:hint="eastAsia"/>
                <w:sz w:val="24"/>
                <w:szCs w:val="24"/>
              </w:rPr>
              <w:t>投资于</w:t>
            </w:r>
            <w:r w:rsidR="008A64FA" w:rsidRPr="007F5EA1">
              <w:rPr>
                <w:rFonts w:hint="eastAsia"/>
                <w:sz w:val="24"/>
                <w:szCs w:val="24"/>
              </w:rPr>
              <w:t>六枝华汇交通投资发展有限公司</w:t>
            </w:r>
            <w:r w:rsidR="008A64FA" w:rsidRPr="007F5EA1">
              <w:rPr>
                <w:sz w:val="24"/>
                <w:szCs w:val="24"/>
              </w:rPr>
              <w:t>G356六枝大用至凉水井公路改扩建工程</w:t>
            </w:r>
          </w:p>
        </w:tc>
      </w:tr>
      <w:tr w:rsidR="001E4202" w:rsidTr="007F5EA1">
        <w:tc>
          <w:tcPr>
            <w:tcW w:w="1849" w:type="dxa"/>
          </w:tcPr>
          <w:p w:rsidR="001E4202" w:rsidRPr="007F5EA1" w:rsidRDefault="0095143E" w:rsidP="00DB3A37">
            <w:pPr>
              <w:rPr>
                <w:sz w:val="24"/>
                <w:szCs w:val="24"/>
              </w:rPr>
            </w:pPr>
            <w:r w:rsidRPr="007F5EA1">
              <w:rPr>
                <w:rFonts w:hint="eastAsia"/>
                <w:sz w:val="24"/>
                <w:szCs w:val="24"/>
              </w:rPr>
              <w:t>长城嘉信稳健</w:t>
            </w:r>
            <w:r w:rsidRPr="007F5EA1">
              <w:rPr>
                <w:sz w:val="24"/>
                <w:szCs w:val="24"/>
              </w:rPr>
              <w:t>3号专项资产管理计划</w:t>
            </w:r>
          </w:p>
        </w:tc>
        <w:tc>
          <w:tcPr>
            <w:tcW w:w="2285" w:type="dxa"/>
          </w:tcPr>
          <w:p w:rsidR="008A64FA" w:rsidRPr="007F5EA1" w:rsidRDefault="0095143E" w:rsidP="00DB3A37">
            <w:pPr>
              <w:rPr>
                <w:sz w:val="24"/>
                <w:szCs w:val="24"/>
              </w:rPr>
            </w:pPr>
            <w:r w:rsidRPr="007F5EA1">
              <w:rPr>
                <w:rFonts w:hint="eastAsia"/>
                <w:sz w:val="24"/>
                <w:szCs w:val="24"/>
              </w:rPr>
              <w:t xml:space="preserve">    </w:t>
            </w:r>
          </w:p>
          <w:p w:rsidR="001E4202" w:rsidRPr="007F5EA1" w:rsidRDefault="00DB3A37" w:rsidP="00DB3A37">
            <w:pPr>
              <w:rPr>
                <w:sz w:val="24"/>
                <w:szCs w:val="24"/>
              </w:rPr>
            </w:pPr>
            <w:r w:rsidRPr="007F5EA1">
              <w:rPr>
                <w:rFonts w:hint="eastAsia"/>
                <w:sz w:val="24"/>
                <w:szCs w:val="24"/>
              </w:rPr>
              <w:t xml:space="preserve">   </w:t>
            </w:r>
            <w:r w:rsidR="002545D9" w:rsidRPr="007F5EA1">
              <w:rPr>
                <w:rFonts w:hint="eastAsia"/>
                <w:sz w:val="24"/>
                <w:szCs w:val="24"/>
              </w:rPr>
              <w:t xml:space="preserve"> </w:t>
            </w:r>
            <w:r w:rsidR="00403237" w:rsidRPr="007F5EA1">
              <w:rPr>
                <w:rFonts w:hint="eastAsia"/>
                <w:sz w:val="24"/>
                <w:szCs w:val="24"/>
              </w:rPr>
              <w:t>106</w:t>
            </w:r>
            <w:r w:rsidR="00C822CD" w:rsidRPr="007F5EA1">
              <w:rPr>
                <w:rFonts w:hint="eastAsia"/>
                <w:sz w:val="24"/>
                <w:szCs w:val="24"/>
              </w:rPr>
              <w:t>,</w:t>
            </w:r>
            <w:r w:rsidR="00403237" w:rsidRPr="007F5EA1">
              <w:rPr>
                <w:rFonts w:hint="eastAsia"/>
                <w:sz w:val="24"/>
                <w:szCs w:val="24"/>
              </w:rPr>
              <w:t>358.00</w:t>
            </w:r>
          </w:p>
        </w:tc>
        <w:tc>
          <w:tcPr>
            <w:tcW w:w="5113" w:type="dxa"/>
          </w:tcPr>
          <w:p w:rsidR="001E4202" w:rsidRPr="007F5EA1" w:rsidRDefault="008A64FA" w:rsidP="00DB3A37">
            <w:pPr>
              <w:rPr>
                <w:sz w:val="24"/>
                <w:szCs w:val="24"/>
              </w:rPr>
            </w:pPr>
            <w:r w:rsidRPr="007F5EA1">
              <w:rPr>
                <w:rFonts w:hint="eastAsia"/>
                <w:sz w:val="24"/>
                <w:szCs w:val="24"/>
              </w:rPr>
              <w:t>投资于</w:t>
            </w:r>
            <w:r w:rsidR="0095143E" w:rsidRPr="007F5EA1">
              <w:rPr>
                <w:sz w:val="24"/>
                <w:szCs w:val="24"/>
              </w:rPr>
              <w:t>贵阳市双龙临空经济区土地收储整治项目</w:t>
            </w:r>
            <w:r w:rsidR="00C822CD" w:rsidRPr="007F5EA1">
              <w:rPr>
                <w:rFonts w:hint="eastAsia"/>
                <w:sz w:val="24"/>
                <w:szCs w:val="24"/>
              </w:rPr>
              <w:t>等7个基础建设项目</w:t>
            </w:r>
            <w:r w:rsidR="0095143E" w:rsidRPr="007F5EA1">
              <w:rPr>
                <w:sz w:val="24"/>
                <w:szCs w:val="24"/>
              </w:rPr>
              <w:t>。</w:t>
            </w:r>
          </w:p>
        </w:tc>
      </w:tr>
      <w:tr w:rsidR="001E7AB9" w:rsidTr="007F5EA1">
        <w:tc>
          <w:tcPr>
            <w:tcW w:w="1849" w:type="dxa"/>
          </w:tcPr>
          <w:p w:rsidR="001E7AB9" w:rsidRDefault="001E7AB9" w:rsidP="00DB3A37">
            <w:pPr>
              <w:rPr>
                <w:rFonts w:hint="eastAsia"/>
                <w:sz w:val="24"/>
                <w:szCs w:val="24"/>
              </w:rPr>
            </w:pPr>
          </w:p>
          <w:p w:rsidR="001E7AB9" w:rsidRPr="007F5EA1" w:rsidRDefault="001E7AB9" w:rsidP="001E7AB9">
            <w:pPr>
              <w:ind w:firstLineChars="250" w:firstLine="600"/>
              <w:rPr>
                <w:rFonts w:hint="eastAsia"/>
                <w:sz w:val="24"/>
                <w:szCs w:val="24"/>
              </w:rPr>
            </w:pPr>
            <w:r>
              <w:rPr>
                <w:rFonts w:hint="eastAsia"/>
                <w:sz w:val="24"/>
                <w:szCs w:val="24"/>
              </w:rPr>
              <w:t>合计</w:t>
            </w:r>
          </w:p>
        </w:tc>
        <w:tc>
          <w:tcPr>
            <w:tcW w:w="2285" w:type="dxa"/>
          </w:tcPr>
          <w:p w:rsidR="001E7AB9" w:rsidRPr="007F5EA1" w:rsidRDefault="001E7AB9" w:rsidP="001E7AB9">
            <w:pPr>
              <w:ind w:firstLineChars="150" w:firstLine="360"/>
              <w:rPr>
                <w:rFonts w:hint="eastAsia"/>
                <w:sz w:val="24"/>
                <w:szCs w:val="24"/>
              </w:rPr>
            </w:pPr>
            <w:r>
              <w:rPr>
                <w:rFonts w:hint="eastAsia"/>
                <w:sz w:val="24"/>
                <w:szCs w:val="24"/>
              </w:rPr>
              <w:t>192，058.00</w:t>
            </w:r>
          </w:p>
        </w:tc>
        <w:tc>
          <w:tcPr>
            <w:tcW w:w="5113" w:type="dxa"/>
          </w:tcPr>
          <w:p w:rsidR="001E7AB9" w:rsidRPr="007F5EA1" w:rsidRDefault="001E7AB9" w:rsidP="00DB3A37">
            <w:pPr>
              <w:rPr>
                <w:rFonts w:hint="eastAsia"/>
                <w:sz w:val="24"/>
                <w:szCs w:val="24"/>
              </w:rPr>
            </w:pPr>
          </w:p>
        </w:tc>
      </w:tr>
    </w:tbl>
    <w:p w:rsidR="001E4202" w:rsidRDefault="001E4202">
      <w:pPr>
        <w:outlineLvl w:val="1"/>
        <w:rPr>
          <w:sz w:val="32"/>
          <w:szCs w:val="32"/>
          <w:lang w:val="en-US"/>
        </w:rPr>
      </w:pPr>
    </w:p>
    <w:p w:rsidR="001E4202" w:rsidRDefault="001014D6">
      <w:pPr>
        <w:widowControl/>
        <w:spacing w:line="560" w:lineRule="exact"/>
        <w:ind w:firstLineChars="203" w:firstLine="650"/>
        <w:rPr>
          <w:rFonts w:ascii="黑体" w:eastAsia="黑体" w:hAnsi="黑体" w:cs="黑体"/>
          <w:bCs/>
          <w:sz w:val="32"/>
          <w:szCs w:val="32"/>
        </w:rPr>
      </w:pPr>
      <w:r>
        <w:rPr>
          <w:rFonts w:ascii="黑体" w:eastAsia="黑体" w:hAnsi="黑体" w:cs="黑体" w:hint="eastAsia"/>
          <w:bCs/>
          <w:sz w:val="32"/>
          <w:szCs w:val="32"/>
        </w:rPr>
        <w:t>五、投资组合的流动性风险</w:t>
      </w:r>
    </w:p>
    <w:p w:rsidR="001E4202" w:rsidRDefault="001014D6">
      <w:pPr>
        <w:widowControl/>
        <w:spacing w:line="560" w:lineRule="exact"/>
        <w:ind w:firstLineChars="200" w:firstLine="640"/>
        <w:rPr>
          <w:bCs/>
          <w:sz w:val="32"/>
          <w:szCs w:val="32"/>
        </w:rPr>
      </w:pPr>
      <w:r>
        <w:rPr>
          <w:rFonts w:hint="eastAsia"/>
          <w:bCs/>
          <w:sz w:val="32"/>
          <w:szCs w:val="32"/>
        </w:rPr>
        <w:t>目前，我行未发行开放式理财产品，封闭式理财产品由于期限不得低于90天，因此，我行理财投资各类资产，杠杆比率均符</w:t>
      </w:r>
      <w:r>
        <w:rPr>
          <w:rFonts w:hint="eastAsia"/>
          <w:bCs/>
          <w:sz w:val="32"/>
          <w:szCs w:val="32"/>
        </w:rPr>
        <w:lastRenderedPageBreak/>
        <w:t>合监管要求，总资产较净资产比率小于200%。投资组合中杠杆率最高的是“启明一号单一资管计划”杠杆比率为162.17%，其余资产组合杠杆率均控制在110%以内，有效地保障了投资组合的流动性需求。</w:t>
      </w:r>
    </w:p>
    <w:p w:rsidR="001E4202" w:rsidRDefault="001014D6">
      <w:pPr>
        <w:widowControl/>
        <w:spacing w:line="560" w:lineRule="exact"/>
        <w:ind w:left="640"/>
        <w:rPr>
          <w:rFonts w:ascii="黑体" w:eastAsia="黑体" w:hAnsi="黑体" w:cs="黑体"/>
          <w:bCs/>
          <w:sz w:val="32"/>
          <w:szCs w:val="32"/>
        </w:rPr>
      </w:pPr>
      <w:r>
        <w:rPr>
          <w:rFonts w:ascii="黑体" w:eastAsia="黑体" w:hAnsi="黑体" w:cs="黑体" w:hint="eastAsia"/>
          <w:bCs/>
          <w:sz w:val="32"/>
          <w:szCs w:val="32"/>
        </w:rPr>
        <w:t>六、</w:t>
      </w:r>
      <w:r w:rsidR="001E7AB9">
        <w:rPr>
          <w:rFonts w:ascii="黑体" w:eastAsia="黑体" w:hAnsi="黑体" w:cs="黑体" w:hint="eastAsia"/>
          <w:bCs/>
          <w:sz w:val="32"/>
          <w:szCs w:val="32"/>
        </w:rPr>
        <w:t>其他</w:t>
      </w:r>
      <w:r>
        <w:rPr>
          <w:rFonts w:ascii="黑体" w:eastAsia="黑体" w:hAnsi="黑体" w:cs="黑体" w:hint="eastAsia"/>
          <w:bCs/>
          <w:sz w:val="32"/>
          <w:szCs w:val="32"/>
        </w:rPr>
        <w:t>信息</w:t>
      </w:r>
    </w:p>
    <w:p w:rsidR="001E4202" w:rsidRPr="00C822CD" w:rsidRDefault="001014D6">
      <w:pPr>
        <w:widowControl/>
        <w:spacing w:line="560" w:lineRule="exact"/>
        <w:ind w:firstLineChars="200" w:firstLine="640"/>
        <w:rPr>
          <w:bCs/>
          <w:sz w:val="32"/>
          <w:szCs w:val="32"/>
          <w:lang w:val="en-US"/>
        </w:rPr>
      </w:pPr>
      <w:r>
        <w:rPr>
          <w:rFonts w:hint="eastAsia"/>
          <w:bCs/>
          <w:sz w:val="32"/>
          <w:szCs w:val="32"/>
          <w:lang w:val="en-US"/>
        </w:rPr>
        <w:t>根据《商业银行理财业务监督管理办法》（银保监令2018年第6号）披露要求，我行</w:t>
      </w:r>
      <w:r w:rsidR="00C822CD">
        <w:rPr>
          <w:rFonts w:hint="eastAsia"/>
          <w:bCs/>
          <w:sz w:val="32"/>
          <w:szCs w:val="32"/>
          <w:lang w:val="en-US"/>
        </w:rPr>
        <w:t>新规后发行净值型</w:t>
      </w:r>
      <w:r>
        <w:rPr>
          <w:rFonts w:hint="eastAsia"/>
          <w:bCs/>
          <w:sz w:val="32"/>
          <w:szCs w:val="32"/>
          <w:lang w:val="en-US"/>
        </w:rPr>
        <w:t>理财</w:t>
      </w:r>
      <w:r w:rsidR="00C822CD">
        <w:rPr>
          <w:rFonts w:hint="eastAsia"/>
          <w:bCs/>
          <w:sz w:val="32"/>
          <w:szCs w:val="32"/>
          <w:lang w:val="en-US"/>
        </w:rPr>
        <w:t>产品</w:t>
      </w:r>
      <w:r w:rsidR="00C822CD" w:rsidRPr="00C822CD">
        <w:rPr>
          <w:rFonts w:hint="eastAsia"/>
          <w:bCs/>
          <w:sz w:val="32"/>
          <w:szCs w:val="32"/>
          <w:lang w:val="en-US"/>
        </w:rPr>
        <w:t>投资于</w:t>
      </w:r>
      <w:r w:rsidR="001E7AB9">
        <w:rPr>
          <w:rFonts w:hint="eastAsia"/>
          <w:bCs/>
          <w:sz w:val="32"/>
          <w:szCs w:val="32"/>
          <w:lang w:val="en-US"/>
        </w:rPr>
        <w:t>股东</w:t>
      </w:r>
      <w:r w:rsidR="00C822CD" w:rsidRPr="00C822CD">
        <w:rPr>
          <w:rFonts w:hint="eastAsia"/>
          <w:bCs/>
          <w:sz w:val="32"/>
          <w:szCs w:val="32"/>
          <w:lang w:val="en-US"/>
        </w:rPr>
        <w:t>资产信息</w:t>
      </w:r>
      <w:r>
        <w:rPr>
          <w:rFonts w:hint="eastAsia"/>
          <w:bCs/>
          <w:sz w:val="32"/>
          <w:szCs w:val="32"/>
          <w:lang w:val="en-US"/>
        </w:rPr>
        <w:t>：</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6"/>
        <w:gridCol w:w="1376"/>
        <w:gridCol w:w="2524"/>
        <w:gridCol w:w="1923"/>
        <w:gridCol w:w="1527"/>
      </w:tblGrid>
      <w:tr w:rsidR="007F5EA1" w:rsidTr="007F5EA1">
        <w:tc>
          <w:tcPr>
            <w:tcW w:w="1706" w:type="dxa"/>
          </w:tcPr>
          <w:p w:rsidR="001E4202" w:rsidRPr="007F5EA1" w:rsidRDefault="00C822CD" w:rsidP="007F5EA1">
            <w:pPr>
              <w:jc w:val="center"/>
              <w:outlineLvl w:val="1"/>
              <w:rPr>
                <w:b/>
                <w:bCs/>
                <w:sz w:val="24"/>
                <w:szCs w:val="24"/>
                <w:lang w:val="en-US"/>
              </w:rPr>
            </w:pPr>
            <w:r w:rsidRPr="007F5EA1">
              <w:rPr>
                <w:rFonts w:hint="eastAsia"/>
                <w:b/>
                <w:bCs/>
                <w:sz w:val="24"/>
                <w:szCs w:val="24"/>
                <w:lang w:val="en-US"/>
              </w:rPr>
              <w:t>发行主体</w:t>
            </w:r>
            <w:r w:rsidR="001014D6" w:rsidRPr="007F5EA1">
              <w:rPr>
                <w:rFonts w:hint="eastAsia"/>
                <w:b/>
                <w:bCs/>
                <w:sz w:val="24"/>
                <w:szCs w:val="24"/>
                <w:lang w:val="en-US"/>
              </w:rPr>
              <w:t>名称</w:t>
            </w:r>
          </w:p>
        </w:tc>
        <w:tc>
          <w:tcPr>
            <w:tcW w:w="1376" w:type="dxa"/>
          </w:tcPr>
          <w:p w:rsidR="001E4202" w:rsidRPr="007F5EA1" w:rsidRDefault="001014D6" w:rsidP="007F5EA1">
            <w:pPr>
              <w:jc w:val="center"/>
              <w:outlineLvl w:val="1"/>
              <w:rPr>
                <w:b/>
                <w:bCs/>
                <w:sz w:val="24"/>
                <w:szCs w:val="24"/>
                <w:lang w:val="en-US"/>
              </w:rPr>
            </w:pPr>
            <w:r w:rsidRPr="007F5EA1">
              <w:rPr>
                <w:rFonts w:hint="eastAsia"/>
                <w:b/>
                <w:bCs/>
                <w:sz w:val="24"/>
                <w:szCs w:val="24"/>
                <w:lang w:val="en-US"/>
              </w:rPr>
              <w:t>类别</w:t>
            </w:r>
          </w:p>
        </w:tc>
        <w:tc>
          <w:tcPr>
            <w:tcW w:w="2524" w:type="dxa"/>
          </w:tcPr>
          <w:p w:rsidR="001E4202" w:rsidRPr="007F5EA1" w:rsidRDefault="00C822CD" w:rsidP="007F5EA1">
            <w:pPr>
              <w:jc w:val="center"/>
              <w:outlineLvl w:val="1"/>
              <w:rPr>
                <w:b/>
                <w:bCs/>
                <w:sz w:val="24"/>
                <w:szCs w:val="24"/>
                <w:lang w:val="en-US"/>
              </w:rPr>
            </w:pPr>
            <w:r w:rsidRPr="007F5EA1">
              <w:rPr>
                <w:rFonts w:hint="eastAsia"/>
                <w:b/>
                <w:bCs/>
                <w:sz w:val="24"/>
                <w:szCs w:val="24"/>
                <w:lang w:val="en-US"/>
              </w:rPr>
              <w:t xml:space="preserve">   </w:t>
            </w:r>
            <w:r w:rsidR="001014D6" w:rsidRPr="007F5EA1">
              <w:rPr>
                <w:rFonts w:hint="eastAsia"/>
                <w:b/>
                <w:bCs/>
                <w:sz w:val="24"/>
                <w:szCs w:val="24"/>
                <w:lang w:val="en-US"/>
              </w:rPr>
              <w:t>资产名称</w:t>
            </w:r>
          </w:p>
        </w:tc>
        <w:tc>
          <w:tcPr>
            <w:tcW w:w="1923" w:type="dxa"/>
          </w:tcPr>
          <w:p w:rsidR="001E4202" w:rsidRPr="007F5EA1" w:rsidRDefault="001E7AB9" w:rsidP="007F5EA1">
            <w:pPr>
              <w:jc w:val="center"/>
              <w:outlineLvl w:val="1"/>
              <w:rPr>
                <w:b/>
                <w:bCs/>
                <w:sz w:val="24"/>
                <w:szCs w:val="24"/>
                <w:lang w:val="en-US"/>
              </w:rPr>
            </w:pPr>
            <w:r>
              <w:rPr>
                <w:rFonts w:hint="eastAsia"/>
                <w:b/>
                <w:bCs/>
                <w:sz w:val="24"/>
                <w:szCs w:val="24"/>
                <w:lang w:val="en-US"/>
              </w:rPr>
              <w:t>面值</w:t>
            </w:r>
            <w:r w:rsidR="001014D6" w:rsidRPr="007F5EA1">
              <w:rPr>
                <w:rFonts w:hint="eastAsia"/>
                <w:b/>
                <w:bCs/>
                <w:sz w:val="24"/>
                <w:szCs w:val="24"/>
                <w:lang w:val="en-US"/>
              </w:rPr>
              <w:t>（万元）</w:t>
            </w:r>
          </w:p>
        </w:tc>
        <w:tc>
          <w:tcPr>
            <w:tcW w:w="1527" w:type="dxa"/>
          </w:tcPr>
          <w:p w:rsidR="001E4202" w:rsidRPr="007F5EA1" w:rsidRDefault="001014D6" w:rsidP="007F5EA1">
            <w:pPr>
              <w:jc w:val="center"/>
              <w:outlineLvl w:val="1"/>
              <w:rPr>
                <w:b/>
                <w:bCs/>
                <w:sz w:val="24"/>
                <w:szCs w:val="24"/>
                <w:lang w:val="en-US"/>
              </w:rPr>
            </w:pPr>
            <w:r w:rsidRPr="007F5EA1">
              <w:rPr>
                <w:rFonts w:hint="eastAsia"/>
                <w:b/>
                <w:bCs/>
                <w:sz w:val="24"/>
                <w:szCs w:val="24"/>
                <w:lang w:val="en-US"/>
              </w:rPr>
              <w:t>定价依据</w:t>
            </w:r>
          </w:p>
        </w:tc>
      </w:tr>
      <w:tr w:rsidR="007F5EA1" w:rsidTr="007F5EA1">
        <w:trPr>
          <w:trHeight w:val="891"/>
        </w:trPr>
        <w:tc>
          <w:tcPr>
            <w:tcW w:w="1706" w:type="dxa"/>
            <w:vMerge w:val="restart"/>
          </w:tcPr>
          <w:p w:rsidR="001E4202" w:rsidRPr="007F5EA1" w:rsidRDefault="001E4202" w:rsidP="00DB3A37">
            <w:pPr>
              <w:rPr>
                <w:sz w:val="24"/>
                <w:szCs w:val="24"/>
              </w:rPr>
            </w:pPr>
          </w:p>
          <w:p w:rsidR="001E4202" w:rsidRPr="007F5EA1" w:rsidRDefault="001014D6" w:rsidP="00DB3A37">
            <w:pPr>
              <w:rPr>
                <w:sz w:val="24"/>
                <w:szCs w:val="24"/>
              </w:rPr>
            </w:pPr>
            <w:r w:rsidRPr="007F5EA1">
              <w:rPr>
                <w:rFonts w:hint="eastAsia"/>
                <w:sz w:val="24"/>
                <w:szCs w:val="24"/>
              </w:rPr>
              <w:t>贵安新区开发投资有限公司</w:t>
            </w:r>
          </w:p>
        </w:tc>
        <w:tc>
          <w:tcPr>
            <w:tcW w:w="1376" w:type="dxa"/>
            <w:vMerge w:val="restart"/>
          </w:tcPr>
          <w:p w:rsidR="001E4202" w:rsidRPr="007F5EA1" w:rsidRDefault="001E4202" w:rsidP="00DB3A37">
            <w:pPr>
              <w:rPr>
                <w:sz w:val="24"/>
                <w:szCs w:val="24"/>
              </w:rPr>
            </w:pPr>
          </w:p>
          <w:p w:rsidR="001E4202" w:rsidRPr="007F5EA1" w:rsidRDefault="001E4202" w:rsidP="00DB3A37">
            <w:pPr>
              <w:rPr>
                <w:sz w:val="24"/>
                <w:szCs w:val="24"/>
              </w:rPr>
            </w:pPr>
          </w:p>
          <w:p w:rsidR="001E4202" w:rsidRPr="007F5EA1" w:rsidRDefault="001014D6" w:rsidP="00DB3A37">
            <w:pPr>
              <w:rPr>
                <w:sz w:val="24"/>
                <w:szCs w:val="24"/>
              </w:rPr>
            </w:pPr>
            <w:r w:rsidRPr="007F5EA1">
              <w:rPr>
                <w:rFonts w:hint="eastAsia"/>
                <w:sz w:val="24"/>
                <w:szCs w:val="24"/>
              </w:rPr>
              <w:t>贵州银行股东</w:t>
            </w:r>
          </w:p>
        </w:tc>
        <w:tc>
          <w:tcPr>
            <w:tcW w:w="2524" w:type="dxa"/>
          </w:tcPr>
          <w:p w:rsidR="001E4202" w:rsidRPr="007F5EA1" w:rsidRDefault="001014D6" w:rsidP="00DB3A37">
            <w:pPr>
              <w:rPr>
                <w:sz w:val="24"/>
                <w:szCs w:val="24"/>
              </w:rPr>
            </w:pPr>
            <w:r w:rsidRPr="007F5EA1">
              <w:rPr>
                <w:rFonts w:hint="eastAsia"/>
                <w:sz w:val="24"/>
                <w:szCs w:val="24"/>
              </w:rPr>
              <w:t>贵安新区开发投资有限公司非公开发行2015年公司债券</w:t>
            </w:r>
          </w:p>
        </w:tc>
        <w:tc>
          <w:tcPr>
            <w:tcW w:w="1923" w:type="dxa"/>
          </w:tcPr>
          <w:p w:rsidR="001E4202" w:rsidRPr="007F5EA1" w:rsidRDefault="001E4202" w:rsidP="00DB3A37">
            <w:pPr>
              <w:rPr>
                <w:sz w:val="24"/>
                <w:szCs w:val="24"/>
              </w:rPr>
            </w:pPr>
          </w:p>
          <w:p w:rsidR="001E4202" w:rsidRPr="007F5EA1" w:rsidRDefault="001014D6" w:rsidP="00DB3A37">
            <w:pPr>
              <w:rPr>
                <w:sz w:val="24"/>
                <w:szCs w:val="24"/>
              </w:rPr>
            </w:pPr>
            <w:r w:rsidRPr="007F5EA1">
              <w:rPr>
                <w:rFonts w:hint="eastAsia"/>
                <w:sz w:val="24"/>
                <w:szCs w:val="24"/>
              </w:rPr>
              <w:t xml:space="preserve">    6</w:t>
            </w:r>
            <w:r w:rsidR="00C822CD" w:rsidRPr="007F5EA1">
              <w:rPr>
                <w:rFonts w:hint="eastAsia"/>
                <w:sz w:val="24"/>
                <w:szCs w:val="24"/>
              </w:rPr>
              <w:t>,</w:t>
            </w:r>
            <w:r w:rsidRPr="007F5EA1">
              <w:rPr>
                <w:rFonts w:hint="eastAsia"/>
                <w:sz w:val="24"/>
                <w:szCs w:val="24"/>
              </w:rPr>
              <w:t>400</w:t>
            </w:r>
            <w:r w:rsidR="00C822CD" w:rsidRPr="007F5EA1">
              <w:rPr>
                <w:rFonts w:hint="eastAsia"/>
                <w:sz w:val="24"/>
                <w:szCs w:val="24"/>
              </w:rPr>
              <w:t>.00</w:t>
            </w:r>
          </w:p>
        </w:tc>
        <w:tc>
          <w:tcPr>
            <w:tcW w:w="1527" w:type="dxa"/>
            <w:vMerge w:val="restart"/>
          </w:tcPr>
          <w:p w:rsidR="001E4202" w:rsidRPr="007F5EA1" w:rsidRDefault="001E4202" w:rsidP="00DB3A37">
            <w:pPr>
              <w:rPr>
                <w:sz w:val="24"/>
                <w:szCs w:val="24"/>
              </w:rPr>
            </w:pPr>
          </w:p>
          <w:p w:rsidR="001E4202" w:rsidRPr="007F5EA1" w:rsidRDefault="001014D6" w:rsidP="00DB3A37">
            <w:pPr>
              <w:rPr>
                <w:sz w:val="24"/>
                <w:szCs w:val="24"/>
              </w:rPr>
            </w:pPr>
            <w:r w:rsidRPr="007F5EA1">
              <w:rPr>
                <w:rFonts w:hint="eastAsia"/>
                <w:sz w:val="24"/>
                <w:szCs w:val="24"/>
              </w:rPr>
              <w:t>二级市场按公允价值买入</w:t>
            </w:r>
          </w:p>
        </w:tc>
      </w:tr>
      <w:tr w:rsidR="007F5EA1" w:rsidTr="007F5EA1">
        <w:tc>
          <w:tcPr>
            <w:tcW w:w="1706" w:type="dxa"/>
            <w:vMerge/>
          </w:tcPr>
          <w:p w:rsidR="001E4202" w:rsidRPr="007F5EA1" w:rsidRDefault="001E4202" w:rsidP="007F5EA1">
            <w:pPr>
              <w:widowControl/>
              <w:spacing w:line="560" w:lineRule="exact"/>
              <w:jc w:val="both"/>
              <w:rPr>
                <w:bCs/>
                <w:sz w:val="32"/>
                <w:szCs w:val="32"/>
              </w:rPr>
            </w:pPr>
          </w:p>
        </w:tc>
        <w:tc>
          <w:tcPr>
            <w:tcW w:w="1376" w:type="dxa"/>
            <w:vMerge/>
          </w:tcPr>
          <w:p w:rsidR="001E4202" w:rsidRPr="007F5EA1" w:rsidRDefault="001E4202" w:rsidP="007F5EA1">
            <w:pPr>
              <w:widowControl/>
              <w:spacing w:line="560" w:lineRule="exact"/>
              <w:jc w:val="both"/>
              <w:rPr>
                <w:bCs/>
                <w:sz w:val="32"/>
                <w:szCs w:val="32"/>
              </w:rPr>
            </w:pPr>
          </w:p>
        </w:tc>
        <w:tc>
          <w:tcPr>
            <w:tcW w:w="2524" w:type="dxa"/>
          </w:tcPr>
          <w:p w:rsidR="001E4202" w:rsidRPr="007F5EA1" w:rsidRDefault="001014D6" w:rsidP="00DB3A37">
            <w:pPr>
              <w:rPr>
                <w:sz w:val="24"/>
                <w:szCs w:val="24"/>
              </w:rPr>
            </w:pPr>
            <w:r w:rsidRPr="007F5EA1">
              <w:rPr>
                <w:rFonts w:hint="eastAsia"/>
                <w:sz w:val="24"/>
                <w:szCs w:val="24"/>
              </w:rPr>
              <w:t>贵安新区开发投资有限公司非公开发行2016年公司债券</w:t>
            </w:r>
          </w:p>
        </w:tc>
        <w:tc>
          <w:tcPr>
            <w:tcW w:w="1923" w:type="dxa"/>
          </w:tcPr>
          <w:p w:rsidR="001E4202" w:rsidRPr="007F5EA1" w:rsidRDefault="001E4202" w:rsidP="00DB3A37">
            <w:pPr>
              <w:rPr>
                <w:sz w:val="24"/>
                <w:szCs w:val="24"/>
              </w:rPr>
            </w:pPr>
          </w:p>
          <w:p w:rsidR="001E4202" w:rsidRPr="007F5EA1" w:rsidRDefault="001014D6" w:rsidP="00DB3A37">
            <w:pPr>
              <w:rPr>
                <w:sz w:val="24"/>
                <w:szCs w:val="24"/>
              </w:rPr>
            </w:pPr>
            <w:r w:rsidRPr="007F5EA1">
              <w:rPr>
                <w:rFonts w:hint="eastAsia"/>
                <w:sz w:val="24"/>
                <w:szCs w:val="24"/>
              </w:rPr>
              <w:t xml:space="preserve">    2</w:t>
            </w:r>
            <w:r w:rsidR="00C822CD" w:rsidRPr="007F5EA1">
              <w:rPr>
                <w:rFonts w:hint="eastAsia"/>
                <w:sz w:val="24"/>
                <w:szCs w:val="24"/>
              </w:rPr>
              <w:t>,</w:t>
            </w:r>
            <w:r w:rsidRPr="007F5EA1">
              <w:rPr>
                <w:rFonts w:hint="eastAsia"/>
                <w:sz w:val="24"/>
                <w:szCs w:val="24"/>
              </w:rPr>
              <w:t>400</w:t>
            </w:r>
            <w:r w:rsidR="00C822CD" w:rsidRPr="007F5EA1">
              <w:rPr>
                <w:rFonts w:hint="eastAsia"/>
                <w:sz w:val="24"/>
                <w:szCs w:val="24"/>
              </w:rPr>
              <w:t>.00</w:t>
            </w:r>
          </w:p>
        </w:tc>
        <w:tc>
          <w:tcPr>
            <w:tcW w:w="1527" w:type="dxa"/>
            <w:vMerge/>
          </w:tcPr>
          <w:p w:rsidR="001E4202" w:rsidRPr="007F5EA1" w:rsidRDefault="001E4202" w:rsidP="007F5EA1">
            <w:pPr>
              <w:widowControl/>
              <w:spacing w:line="560" w:lineRule="exact"/>
              <w:jc w:val="both"/>
              <w:rPr>
                <w:bCs/>
                <w:sz w:val="32"/>
                <w:szCs w:val="32"/>
              </w:rPr>
            </w:pPr>
          </w:p>
        </w:tc>
      </w:tr>
    </w:tbl>
    <w:p w:rsidR="001E4202" w:rsidRDefault="001E4202">
      <w:pPr>
        <w:widowControl/>
        <w:spacing w:line="560" w:lineRule="exact"/>
        <w:ind w:firstLineChars="200" w:firstLine="640"/>
        <w:rPr>
          <w:bCs/>
          <w:sz w:val="32"/>
          <w:szCs w:val="32"/>
        </w:rPr>
      </w:pPr>
    </w:p>
    <w:p w:rsidR="001E4202" w:rsidRDefault="001E4202">
      <w:pPr>
        <w:widowControl/>
        <w:spacing w:line="560" w:lineRule="exact"/>
        <w:ind w:firstLineChars="200" w:firstLine="600"/>
        <w:rPr>
          <w:color w:val="000000"/>
          <w:sz w:val="30"/>
          <w:szCs w:val="30"/>
          <w:shd w:val="clear" w:color="auto" w:fill="87E2F2"/>
        </w:rPr>
      </w:pPr>
    </w:p>
    <w:p w:rsidR="001E4202" w:rsidRDefault="001E4202">
      <w:pPr>
        <w:widowControl/>
        <w:spacing w:line="560" w:lineRule="exact"/>
        <w:ind w:firstLineChars="200" w:firstLine="640"/>
        <w:jc w:val="right"/>
        <w:rPr>
          <w:rFonts w:ascii="Times New Roman" w:hAnsi="Times New Roman" w:cs="Times New Roman"/>
          <w:bCs/>
          <w:sz w:val="32"/>
          <w:szCs w:val="32"/>
          <w:lang w:val="en-US"/>
        </w:rPr>
      </w:pPr>
    </w:p>
    <w:p w:rsidR="001E4202" w:rsidRDefault="001E4202">
      <w:pPr>
        <w:widowControl/>
        <w:spacing w:line="560" w:lineRule="exact"/>
        <w:ind w:firstLineChars="200" w:firstLine="640"/>
        <w:jc w:val="right"/>
        <w:rPr>
          <w:rFonts w:ascii="Times New Roman" w:hAnsi="Times New Roman" w:cs="Times New Roman"/>
          <w:bCs/>
          <w:sz w:val="32"/>
          <w:szCs w:val="32"/>
          <w:lang w:val="en-US"/>
        </w:rPr>
      </w:pPr>
    </w:p>
    <w:p w:rsidR="001E4202" w:rsidRDefault="001014D6">
      <w:pPr>
        <w:widowControl/>
        <w:spacing w:line="560" w:lineRule="exact"/>
        <w:ind w:firstLineChars="200" w:firstLine="640"/>
        <w:jc w:val="right"/>
        <w:rPr>
          <w:rFonts w:ascii="Times New Roman" w:hAnsi="Times New Roman" w:cs="Times New Roman"/>
          <w:bCs/>
          <w:sz w:val="32"/>
          <w:szCs w:val="32"/>
          <w:lang w:val="en-US"/>
        </w:rPr>
      </w:pPr>
      <w:r>
        <w:rPr>
          <w:rFonts w:ascii="Times New Roman" w:hAnsi="Times New Roman" w:cs="Times New Roman" w:hint="eastAsia"/>
          <w:bCs/>
          <w:sz w:val="32"/>
          <w:szCs w:val="32"/>
          <w:lang w:val="en-US"/>
        </w:rPr>
        <w:t>贵州银行股份有限公司</w:t>
      </w:r>
    </w:p>
    <w:p w:rsidR="001E4202" w:rsidRDefault="001014D6">
      <w:pPr>
        <w:widowControl/>
        <w:spacing w:line="560" w:lineRule="exact"/>
        <w:ind w:firstLineChars="200" w:firstLine="640"/>
        <w:jc w:val="center"/>
        <w:rPr>
          <w:bCs/>
          <w:sz w:val="32"/>
          <w:szCs w:val="32"/>
          <w:lang w:val="en-US"/>
        </w:rPr>
      </w:pPr>
      <w:r>
        <w:rPr>
          <w:rFonts w:ascii="Times New Roman" w:hAnsi="Times New Roman" w:cs="Times New Roman" w:hint="eastAsia"/>
          <w:bCs/>
          <w:sz w:val="32"/>
          <w:szCs w:val="32"/>
          <w:lang w:val="en-US"/>
        </w:rPr>
        <w:t xml:space="preserve">                                                                    2019</w:t>
      </w:r>
      <w:r>
        <w:rPr>
          <w:rFonts w:ascii="Times New Roman" w:hAnsi="Times New Roman" w:cs="Times New Roman" w:hint="eastAsia"/>
          <w:bCs/>
          <w:sz w:val="32"/>
          <w:szCs w:val="32"/>
          <w:lang w:val="en-US"/>
        </w:rPr>
        <w:t>年</w:t>
      </w:r>
      <w:r>
        <w:rPr>
          <w:rFonts w:ascii="Times New Roman" w:hAnsi="Times New Roman" w:cs="Times New Roman" w:hint="eastAsia"/>
          <w:bCs/>
          <w:sz w:val="32"/>
          <w:szCs w:val="32"/>
          <w:lang w:val="en-US"/>
        </w:rPr>
        <w:t>8</w:t>
      </w:r>
      <w:r>
        <w:rPr>
          <w:rFonts w:ascii="Times New Roman" w:hAnsi="Times New Roman" w:cs="Times New Roman" w:hint="eastAsia"/>
          <w:bCs/>
          <w:sz w:val="32"/>
          <w:szCs w:val="32"/>
          <w:lang w:val="en-US"/>
        </w:rPr>
        <w:t>月</w:t>
      </w:r>
      <w:r w:rsidR="00DB3A37">
        <w:rPr>
          <w:rFonts w:ascii="Times New Roman" w:hAnsi="Times New Roman" w:cs="Times New Roman" w:hint="eastAsia"/>
          <w:bCs/>
          <w:sz w:val="32"/>
          <w:szCs w:val="32"/>
          <w:lang w:val="en-US"/>
        </w:rPr>
        <w:t>2</w:t>
      </w:r>
      <w:r w:rsidR="003E74BF">
        <w:rPr>
          <w:rFonts w:ascii="Times New Roman" w:hAnsi="Times New Roman" w:cs="Times New Roman" w:hint="eastAsia"/>
          <w:bCs/>
          <w:sz w:val="32"/>
          <w:szCs w:val="32"/>
          <w:lang w:val="en-US"/>
        </w:rPr>
        <w:t>8</w:t>
      </w:r>
      <w:r>
        <w:rPr>
          <w:rFonts w:ascii="Times New Roman" w:hAnsi="Times New Roman" w:cs="Times New Roman" w:hint="eastAsia"/>
          <w:bCs/>
          <w:sz w:val="32"/>
          <w:szCs w:val="32"/>
          <w:lang w:val="en-US"/>
        </w:rPr>
        <w:t>日</w:t>
      </w:r>
      <w:r>
        <w:rPr>
          <w:rFonts w:ascii="Times New Roman" w:hAnsi="Times New Roman" w:cs="Times New Roman" w:hint="eastAsia"/>
          <w:bCs/>
          <w:sz w:val="32"/>
          <w:szCs w:val="32"/>
          <w:lang w:val="en-US"/>
        </w:rPr>
        <w:t xml:space="preserve">        </w:t>
      </w:r>
    </w:p>
    <w:sectPr w:rsidR="001E4202" w:rsidSect="001E4202">
      <w:footerReference w:type="default" r:id="rId9"/>
      <w:pgSz w:w="11910" w:h="16840"/>
      <w:pgMar w:top="1500" w:right="1380" w:bottom="1500" w:left="1500" w:header="0" w:footer="13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E3" w:rsidRDefault="001A50E3" w:rsidP="001E4202">
      <w:r>
        <w:separator/>
      </w:r>
    </w:p>
  </w:endnote>
  <w:endnote w:type="continuationSeparator" w:id="1">
    <w:p w:rsidR="001A50E3" w:rsidRDefault="001A50E3" w:rsidP="001E4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02" w:rsidRDefault="00D86568">
    <w:pPr>
      <w:pStyle w:val="a3"/>
      <w:spacing w:line="14" w:lineRule="auto"/>
      <w:rPr>
        <w:sz w:val="20"/>
      </w:rPr>
    </w:pPr>
    <w:r w:rsidRPr="00D86568">
      <w:pict>
        <v:shapetype id="_x0000_t202" coordsize="21600,21600" o:spt="202" path="m,l,21600r21600,l21600,xe">
          <v:stroke joinstyle="miter"/>
          <v:path gradientshapeok="t" o:connecttype="rect"/>
        </v:shapetype>
        <v:shape id="文本框 1034" o:spid="_x0000_s2049" type="#_x0000_t202" style="position:absolute;margin-left:291.05pt;margin-top:765.1pt;width:13.15pt;height:11pt;z-index:-1;mso-position-horizontal-relative:page;mso-position-vertical-relative:page" o:preferrelative="t" filled="f" stroked="f">
          <v:textbox inset="0,0,0,0">
            <w:txbxContent>
              <w:p w:rsidR="001E4202" w:rsidRDefault="00D86568">
                <w:pPr>
                  <w:spacing w:line="203" w:lineRule="exact"/>
                  <w:ind w:left="40"/>
                  <w:rPr>
                    <w:rFonts w:ascii="Calibri"/>
                    <w:sz w:val="18"/>
                  </w:rPr>
                </w:pPr>
                <w:r>
                  <w:fldChar w:fldCharType="begin"/>
                </w:r>
                <w:r w:rsidR="001014D6">
                  <w:rPr>
                    <w:rFonts w:ascii="Calibri"/>
                    <w:sz w:val="18"/>
                  </w:rPr>
                  <w:instrText xml:space="preserve"> PAGE </w:instrText>
                </w:r>
                <w:r>
                  <w:fldChar w:fldCharType="separate"/>
                </w:r>
                <w:r w:rsidR="001E7AB9">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E3" w:rsidRDefault="001A50E3" w:rsidP="001E4202">
      <w:r>
        <w:separator/>
      </w:r>
    </w:p>
  </w:footnote>
  <w:footnote w:type="continuationSeparator" w:id="1">
    <w:p w:rsidR="001A50E3" w:rsidRDefault="001A50E3" w:rsidP="001E4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723"/>
    <w:multiLevelType w:val="multilevel"/>
    <w:tmpl w:val="0A440723"/>
    <w:lvl w:ilvl="0">
      <w:start w:val="4"/>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22D16976"/>
    <w:multiLevelType w:val="multilevel"/>
    <w:tmpl w:val="22D16976"/>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4C1E930D"/>
    <w:multiLevelType w:val="singleLevel"/>
    <w:tmpl w:val="4C1E930D"/>
    <w:lvl w:ilvl="0">
      <w:start w:val="1"/>
      <w:numFmt w:val="chineseCounting"/>
      <w:suff w:val="nothing"/>
      <w:lvlText w:val="（%1）"/>
      <w:lvlJc w:val="left"/>
      <w:rPr>
        <w:rFonts w:hint="eastAsia"/>
      </w:rPr>
    </w:lvl>
  </w:abstractNum>
  <w:abstractNum w:abstractNumId="3">
    <w:nsid w:val="5C751CDB"/>
    <w:multiLevelType w:val="singleLevel"/>
    <w:tmpl w:val="5C751CDB"/>
    <w:lvl w:ilvl="0">
      <w:start w:val="1"/>
      <w:numFmt w:val="chineseCounting"/>
      <w:suff w:val="nothing"/>
      <w:lvlText w:val="%1、"/>
      <w:lvlJc w:val="left"/>
    </w:lvl>
  </w:abstractNum>
  <w:abstractNum w:abstractNumId="4">
    <w:nsid w:val="5D5A6C5E"/>
    <w:multiLevelType w:val="singleLevel"/>
    <w:tmpl w:val="5D5A6C5E"/>
    <w:lvl w:ilvl="0">
      <w:start w:val="2"/>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drawingGridHorizontalSpacing w:val="110"/>
  <w:noPunctuationKerning/>
  <w:characterSpacingControl w:val="doNotCompress"/>
  <w:hdrShapeDefaults>
    <o:shapedefaults v:ext="edit" spidmax="819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DDF"/>
    <w:rsid w:val="00046782"/>
    <w:rsid w:val="00065DAA"/>
    <w:rsid w:val="001014D6"/>
    <w:rsid w:val="001A50E3"/>
    <w:rsid w:val="001C5DDF"/>
    <w:rsid w:val="001E4202"/>
    <w:rsid w:val="001E7AB9"/>
    <w:rsid w:val="002545D9"/>
    <w:rsid w:val="00325DD1"/>
    <w:rsid w:val="003E74BF"/>
    <w:rsid w:val="00401066"/>
    <w:rsid w:val="00403237"/>
    <w:rsid w:val="004258A6"/>
    <w:rsid w:val="004964C1"/>
    <w:rsid w:val="004D1BB5"/>
    <w:rsid w:val="004F57E5"/>
    <w:rsid w:val="00507958"/>
    <w:rsid w:val="00690227"/>
    <w:rsid w:val="00733B7B"/>
    <w:rsid w:val="007F5EA1"/>
    <w:rsid w:val="008A64FA"/>
    <w:rsid w:val="0095143E"/>
    <w:rsid w:val="00AC6DD5"/>
    <w:rsid w:val="00C822CD"/>
    <w:rsid w:val="00D05494"/>
    <w:rsid w:val="00D86568"/>
    <w:rsid w:val="00DB3A37"/>
    <w:rsid w:val="00EE1146"/>
    <w:rsid w:val="00FC4972"/>
    <w:rsid w:val="2C6F41F6"/>
    <w:rsid w:val="3CA873E1"/>
    <w:rsid w:val="44F55F2E"/>
    <w:rsid w:val="4E937674"/>
    <w:rsid w:val="62862EAC"/>
    <w:rsid w:val="73970B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er" w:semiHidden="0" w:uiPriority="99" w:qFormat="1"/>
    <w:lsdException w:name="footer" w:semiHidden="0" w:uiPriority="99" w:qFormat="1"/>
    <w:lsdException w:name="Default Paragraph Font" w:semiHidden="0" w:uiPriority="1"/>
    <w:lsdException w:name="Body Text" w:semiHidden="0" w:uiPriority="1" w:unhideWhenUsed="0" w:qFormat="1"/>
    <w:lsdException w:name="Strong" w:semiHidden="0" w:uiPriority="99"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4202"/>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E4202"/>
    <w:rPr>
      <w:sz w:val="30"/>
      <w:szCs w:val="30"/>
    </w:rPr>
  </w:style>
  <w:style w:type="paragraph" w:styleId="a4">
    <w:name w:val="footer"/>
    <w:basedOn w:val="a"/>
    <w:uiPriority w:val="99"/>
    <w:unhideWhenUsed/>
    <w:qFormat/>
    <w:rsid w:val="001E4202"/>
    <w:pPr>
      <w:tabs>
        <w:tab w:val="center" w:pos="4153"/>
        <w:tab w:val="right" w:pos="8306"/>
      </w:tabs>
      <w:snapToGrid w:val="0"/>
    </w:pPr>
    <w:rPr>
      <w:sz w:val="18"/>
      <w:szCs w:val="18"/>
    </w:rPr>
  </w:style>
  <w:style w:type="paragraph" w:styleId="a5">
    <w:name w:val="header"/>
    <w:basedOn w:val="a"/>
    <w:link w:val="Char"/>
    <w:uiPriority w:val="99"/>
    <w:unhideWhenUsed/>
    <w:qFormat/>
    <w:rsid w:val="001E420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E4202"/>
    <w:pPr>
      <w:spacing w:beforeAutospacing="1" w:afterAutospacing="1"/>
    </w:pPr>
    <w:rPr>
      <w:rFonts w:cs="Times New Roman"/>
      <w:sz w:val="24"/>
    </w:rPr>
  </w:style>
  <w:style w:type="character" w:styleId="a7">
    <w:name w:val="Strong"/>
    <w:basedOn w:val="a0"/>
    <w:uiPriority w:val="99"/>
    <w:unhideWhenUsed/>
    <w:qFormat/>
    <w:rsid w:val="001E4202"/>
    <w:rPr>
      <w:b/>
      <w:bCs/>
    </w:rPr>
  </w:style>
  <w:style w:type="table" w:styleId="a8">
    <w:name w:val="Table Grid"/>
    <w:basedOn w:val="a1"/>
    <w:uiPriority w:val="99"/>
    <w:unhideWhenUsed/>
    <w:rsid w:val="001E42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1"/>
    <w:basedOn w:val="a"/>
    <w:uiPriority w:val="1"/>
    <w:qFormat/>
    <w:rsid w:val="001E4202"/>
    <w:pPr>
      <w:spacing w:before="124"/>
      <w:ind w:right="118"/>
      <w:jc w:val="center"/>
    </w:pPr>
    <w:rPr>
      <w:rFonts w:ascii="黑体" w:eastAsia="黑体" w:hAnsi="黑体" w:cs="黑体"/>
      <w:b/>
      <w:bCs/>
      <w:sz w:val="24"/>
      <w:szCs w:val="24"/>
    </w:rPr>
  </w:style>
  <w:style w:type="paragraph" w:customStyle="1" w:styleId="TOC2">
    <w:name w:val="TOC 2"/>
    <w:basedOn w:val="a"/>
    <w:uiPriority w:val="1"/>
    <w:qFormat/>
    <w:rsid w:val="001E4202"/>
    <w:pPr>
      <w:spacing w:before="199"/>
      <w:ind w:right="417"/>
      <w:jc w:val="right"/>
    </w:pPr>
    <w:rPr>
      <w:rFonts w:ascii="黑体" w:eastAsia="黑体" w:hAnsi="黑体" w:cs="黑体"/>
      <w:sz w:val="21"/>
      <w:szCs w:val="21"/>
    </w:rPr>
  </w:style>
  <w:style w:type="paragraph" w:customStyle="1" w:styleId="Heading1">
    <w:name w:val="Heading 1"/>
    <w:basedOn w:val="a"/>
    <w:uiPriority w:val="1"/>
    <w:qFormat/>
    <w:rsid w:val="001E4202"/>
    <w:pPr>
      <w:spacing w:before="30"/>
      <w:ind w:left="300"/>
      <w:outlineLvl w:val="1"/>
    </w:pPr>
    <w:rPr>
      <w:rFonts w:ascii="黑体" w:eastAsia="黑体" w:hAnsi="黑体" w:cs="黑体"/>
      <w:b/>
      <w:bCs/>
      <w:sz w:val="32"/>
      <w:szCs w:val="32"/>
    </w:rPr>
  </w:style>
  <w:style w:type="paragraph" w:customStyle="1" w:styleId="Heading2">
    <w:name w:val="Heading 2"/>
    <w:basedOn w:val="a"/>
    <w:uiPriority w:val="1"/>
    <w:qFormat/>
    <w:rsid w:val="001E4202"/>
    <w:pPr>
      <w:ind w:left="724"/>
      <w:outlineLvl w:val="2"/>
    </w:pPr>
    <w:rPr>
      <w:b/>
      <w:bCs/>
      <w:sz w:val="30"/>
      <w:szCs w:val="30"/>
    </w:rPr>
  </w:style>
  <w:style w:type="paragraph" w:customStyle="1" w:styleId="1">
    <w:name w:val="列出段落1"/>
    <w:basedOn w:val="a"/>
    <w:uiPriority w:val="1"/>
    <w:qFormat/>
    <w:rsid w:val="001E4202"/>
  </w:style>
  <w:style w:type="paragraph" w:customStyle="1" w:styleId="TableParagraph">
    <w:name w:val="Table Paragraph"/>
    <w:basedOn w:val="a"/>
    <w:uiPriority w:val="1"/>
    <w:qFormat/>
    <w:rsid w:val="001E4202"/>
    <w:pPr>
      <w:jc w:val="center"/>
    </w:pPr>
    <w:rPr>
      <w:rFonts w:ascii="Times New Roman" w:eastAsia="Times New Roman" w:hAnsi="Times New Roman" w:cs="Times New Roman"/>
    </w:rPr>
  </w:style>
  <w:style w:type="character" w:customStyle="1" w:styleId="Char">
    <w:name w:val="页眉 Char"/>
    <w:basedOn w:val="a0"/>
    <w:link w:val="a5"/>
    <w:uiPriority w:val="99"/>
    <w:semiHidden/>
    <w:qFormat/>
    <w:rsid w:val="001E4202"/>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393</Words>
  <Characters>2242</Characters>
  <Application>Microsoft Office Word</Application>
  <DocSecurity>0</DocSecurity>
  <Lines>18</Lines>
  <Paragraphs>5</Paragraphs>
  <ScaleCrop>false</ScaleCrop>
  <Company>BANK OF GUIZHOU</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贵州银行2018年理财业务年度报告</dc:title>
  <dc:creator>晓宇</dc:creator>
  <cp:lastModifiedBy>王曦</cp:lastModifiedBy>
  <cp:revision>14</cp:revision>
  <cp:lastPrinted>2019-08-21T01:51:00Z</cp:lastPrinted>
  <dcterms:created xsi:type="dcterms:W3CDTF">2019-02-25T03:47:00Z</dcterms:created>
  <dcterms:modified xsi:type="dcterms:W3CDTF">2019-08-27T03:00:00Z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WPS Office</vt:lpwstr>
  </property>
  <property fmtid="{D5CDD505-2E9C-101B-9397-08002B2CF9AE}" pid="4" name="LastSaved">
    <vt:filetime>2019-02-25T00:00:00Z</vt:filetime>
  </property>
  <property fmtid="{D5CDD505-2E9C-101B-9397-08002B2CF9AE}" pid="5" name="KSOProductBuildVer">
    <vt:lpwstr>2052-9.1.0.4940</vt:lpwstr>
  </property>
</Properties>
</file>