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贵州银行“贵银恒利扬帆”系列理财产品托管费计提方式的公告</w:t>
      </w:r>
    </w:p>
    <w:p>
      <w:pPr>
        <w:spacing w:line="560" w:lineRule="exact"/>
        <w:rPr>
          <w:rFonts w:ascii="黑体" w:hAnsi="黑体" w:eastAsia="黑体" w:cs="黑体"/>
          <w:b/>
          <w:color w:val="333333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尊敬的投资者：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感谢您对“贵银恒利扬帆”系列产品的支持，我行现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调整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该系列产品托管费的计提方式，由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“托管费：本产品的托管费每日计提，到期支付，托管费率为不高于 0.01%（年化）。计算方法如下：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H＝E×0.01%÷365；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H 为每日应计提的产品资产托管费；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single"/>
          <w:shd w:val="clear" w:color="auto" w:fill="FFFFFF"/>
        </w:rPr>
        <w:t>E 为前一日的产品投资总本金。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调整为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“托管费：本产品的托管费每日计提，到期支付，托管费率为不高于 0.01%（年化）。计算方法如下：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H＝E×0.01%÷365；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H 为每日应计提的产品资产托管费；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single"/>
          <w:shd w:val="clear" w:color="auto" w:fill="FFFFFF"/>
        </w:rPr>
        <w:t>E 为当期理财产品募集本金。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由此给您带来的不便敬请谅解，如有疑问请详询96655或各营业网点。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    特此公告！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righ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                             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贵州银行股份有限公司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righ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                       2020年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C6D6E"/>
    <w:rsid w:val="000A3E2A"/>
    <w:rsid w:val="00473D74"/>
    <w:rsid w:val="005441E8"/>
    <w:rsid w:val="00A3022E"/>
    <w:rsid w:val="00C37716"/>
    <w:rsid w:val="0F20793E"/>
    <w:rsid w:val="120C6D6E"/>
    <w:rsid w:val="2AA05397"/>
    <w:rsid w:val="3F9A5FD9"/>
    <w:rsid w:val="5618379E"/>
    <w:rsid w:val="5FE82B19"/>
    <w:rsid w:val="613555B6"/>
    <w:rsid w:val="74E80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355</Characters>
  <Lines>2</Lines>
  <Paragraphs>1</Paragraphs>
  <TotalTime>6</TotalTime>
  <ScaleCrop>false</ScaleCrop>
  <LinksUpToDate>false</LinksUpToDate>
  <CharactersWithSpaces>416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2020-06-09T00:55:00Z</dcterms:created>
  <dc:creator>痞盛</dc:creator>
  <cp:lastModifiedBy>杨文念</cp:lastModifiedBy>
  <cp:lastPrinted>2020-03-20T01:24:00Z</cp:lastPrinted>
  <dcterms:modified xsi:type="dcterms:W3CDTF">2020-06-09T01:22:19Z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