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银行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贵银恒利2020</w:t>
      </w:r>
    </w:p>
    <w:p>
      <w:pPr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宏利第6期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理财产品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投资范围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的公告</w:t>
      </w:r>
    </w:p>
    <w:p>
      <w:pPr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rFonts w:ascii="黑体" w:hAnsi="黑体" w:eastAsia="黑体" w:cs="黑体"/>
          <w:b/>
          <w:color w:val="333333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尊敬的投资者：</w:t>
      </w: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感谢您对“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贵银恒利宏利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系列产品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的支持，我行将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调整2020年1月7日申购的</w:t>
      </w:r>
      <w:r>
        <w:rPr>
          <w:rFonts w:hint="eastAsia" w:ascii="仿宋" w:hAnsi="仿宋" w:eastAsia="仿宋" w:cs="仿宋"/>
          <w:sz w:val="32"/>
          <w:szCs w:val="32"/>
        </w:rPr>
        <w:t>贵银恒利2020宏利第6期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理财产品投资范围，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如下：</w:t>
      </w:r>
    </w:p>
    <w:p>
      <w:pPr>
        <w:widowControl/>
        <w:wordWrap/>
        <w:adjustRightInd w:val="0"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原投资范围：理财资金投资于国信证券股份有限公司设立的“国信证券盛世3号定向资产管理计划”，用于向榕江县农村公路管理局的榕江县2015年第一批提前实施通村油（水泥）路项目发放委托贷款。</w:t>
      </w:r>
    </w:p>
    <w:p>
      <w:pPr>
        <w:widowControl/>
        <w:wordWrap/>
        <w:adjustRightInd w:val="0"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投资范围调整为：本理财产品募集资金主要投资于国信证券股份有限公司设立的“国信证券盛世3号定向资产管理计划”，用于向榕江县农村公路管理局的榕江县2015年第一批提前实施通村油（水泥）路项目发放委托贷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或直接投资</w:t>
      </w:r>
      <w:r>
        <w:rPr>
          <w:rFonts w:hint="eastAsia" w:ascii="仿宋" w:hAnsi="仿宋" w:eastAsia="仿宋" w:cs="仿宋"/>
          <w:sz w:val="32"/>
          <w:szCs w:val="32"/>
        </w:rPr>
        <w:t>货币市场基金、现金、银行存款、可转让存单、债券回购、交易所/银行间的国债、地方政府债、中央银行票据、各类金融债（含次级债、混合资本债）、企业债券、公司债券、可转让债券、经主管机关注册发行的各类债务融资工具（如中期票据、集合票据、短期融资券、定向工具PPN、资产支持票据、ABS、ABN等）、债券基金、分级基金的优先级、证券公司集合资产管理计划或定向资产管理计划、信托公司集合资金资产管理计划、基金管理公司特定客户资产管理计划、保险资产管理公司投资计划、结构性票据等。</w:t>
      </w: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请您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知悉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，由此给您带来的不便敬请谅解，如有疑问请详询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96655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或各营业网点。</w:t>
      </w: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     特此公告！</w:t>
      </w: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textAlignment w:val="auto"/>
        <w:outlineLvl w:val="9"/>
        <w:rPr>
          <w:rFonts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right"/>
        <w:textAlignment w:val="auto"/>
        <w:outlineLvl w:val="9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 xml:space="preserve">                             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贵州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银行股份有限公司</w:t>
      </w:r>
    </w:p>
    <w:p>
      <w:pPr>
        <w:pStyle w:val="4"/>
        <w:widowControl/>
        <w:shd w:val="clear" w:color="auto" w:fill="FFFFFF"/>
        <w:wordWrap/>
        <w:adjustRightInd/>
        <w:snapToGrid/>
        <w:spacing w:beforeAutospacing="0" w:afterAutospacing="0" w:line="560" w:lineRule="exact"/>
        <w:ind w:left="0" w:leftChars="0" w:right="0" w:firstLine="0" w:firstLineChars="0"/>
        <w:jc w:val="right"/>
        <w:textAlignment w:val="auto"/>
        <w:outlineLvl w:val="9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                       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hd w:val="clear" w:color="auto" w:fill="FFFFFF"/>
        <w:spacing w:beforeAutospacing="0" w:afterAutospacing="0" w:line="368" w:lineRule="atLeas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rPr>
          <w:rFonts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iddenHorzOCl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2019-08-05T01:16:00Z</dcterms:created>
  <dc:creator>痞盛</dc:creator>
  <cp:lastModifiedBy>涂今鸿</cp:lastModifiedBy>
  <cp:lastPrinted>2020-06-23T03:04:00Z</cp:lastPrinted>
  <dcterms:modified xsi:type="dcterms:W3CDTF">2020-06-23T03:18:38Z</dcterms:modified>
  <dc:title>关于调整贵州银行“贵银恒利2020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