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博时特许价值混合型证券投资基金（博时特许价值混合A）基金产品资料概要更新</w:t>
      </w:r>
    </w:p>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编制日期：2021年4月13日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送出日期：2021年4月14日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作出投资决定前，请阅读完整的招募说明书等销售文件。</w:t>
      </w:r>
    </w:p>
    <w:p w14:paraId="55CD0E63"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博时特许价值混合</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050010</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博时特许价值混合A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050010</w:t>
            </w:r>
          </w:p>
        </w:tc>
      </w:tr>
      <w:tr w:rsidR="00574193" w14:paraId="6DCAE2C0" w14:textId="77777777" w:rsidTr="00584DC5">
        <w:trPr>
          <w:trHeight w:val="150"/>
        </w:trPr>
        <w:tc>
          <w:tcPr>
            <w:tcW w:w="1145" w:type="pct"/>
            <w:vMerge/>
            <w:vAlign w:val="center"/>
          </w:tcPr>
          <w:p w14:paraId="0DCAEA0A"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3C81400C" w14:textId="77777777" w:rsidR="00574193" w:rsidRDefault="00574193">
            <w:pPr>
              <w:spacing w:line="320" w:lineRule="exact"/>
              <w:ind w:left="105"/>
              <w:rPr>
                <w:rFonts w:ascii="方正仿宋简体" w:eastAsia="方正仿宋简体" w:hAnsiTheme="minorEastAsia" w:cs="方正仿宋简体"/>
                <w:iCs/>
              </w:rPr>
            </w:pPr>
          </w:p>
        </w:tc>
        <w:tc>
          <w:tcPr>
            <w:tcW w:w="999" w:type="pct"/>
            <w:vMerge/>
            <w:vAlign w:val="center"/>
          </w:tcPr>
          <w:p w14:paraId="4582F1F6"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4B894FE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050010（前端）</w:t>
            </w:r>
          </w:p>
        </w:tc>
      </w:tr>
      <w:tr w:rsidR="00574193" w14:paraId="432029B8" w14:textId="77777777" w:rsidTr="00584DC5">
        <w:trPr>
          <w:trHeight w:val="150"/>
        </w:trPr>
        <w:tc>
          <w:tcPr>
            <w:tcW w:w="1145" w:type="pct"/>
            <w:vMerge/>
            <w:vAlign w:val="center"/>
          </w:tcPr>
          <w:p w14:paraId="1B69C26F" w14:textId="77777777" w:rsidR="00574193" w:rsidRDefault="00574193">
            <w:pPr>
              <w:spacing w:line="320" w:lineRule="exact"/>
              <w:rPr>
                <w:rFonts w:ascii="方正仿宋简体" w:eastAsia="方正仿宋简体" w:hAnsiTheme="minorEastAsia" w:cs="方正仿宋简体"/>
                <w:b/>
                <w:iCs/>
              </w:rPr>
            </w:pPr>
          </w:p>
        </w:tc>
        <w:tc>
          <w:tcPr>
            <w:tcW w:w="1413" w:type="pct"/>
            <w:vMerge/>
            <w:tcBorders>
              <w:bottom w:val="nil"/>
            </w:tcBorders>
            <w:vAlign w:val="center"/>
          </w:tcPr>
          <w:p w14:paraId="4354D858" w14:textId="77777777" w:rsidR="00574193" w:rsidRDefault="00574193">
            <w:pPr>
              <w:spacing w:line="320" w:lineRule="exact"/>
              <w:ind w:left="105"/>
              <w:rPr>
                <w:rFonts w:ascii="方正仿宋简体" w:eastAsia="方正仿宋简体" w:hAnsiTheme="minorEastAsia" w:cs="方正仿宋简体"/>
                <w:iCs/>
              </w:rPr>
            </w:pPr>
          </w:p>
        </w:tc>
        <w:tc>
          <w:tcPr>
            <w:tcW w:w="999" w:type="pct"/>
            <w:vMerge/>
            <w:vAlign w:val="center"/>
          </w:tcPr>
          <w:p w14:paraId="28FC6E67"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7724355D"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051010（后端）</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中国建设银行股份有限公司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2008-05-28</w:t>
            </w:r>
          </w:p>
        </w:tc>
        <w:tc>
          <w:tcPr>
            <w:tcW w:w="999" w:type="pct"/>
            <w:vMerge w:val="restart"/>
            <w:vAlign w:val="center"/>
          </w:tcPr>
          <w:p w14:paraId="3BC161C8"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曾鹏</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2018-06-21</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2005-03-01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14:paraId="3F166F04" w14:textId="77777777" w:rsidR="00574193" w:rsidRDefault="00392803">
      <w:pPr>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本基金的投资目标在于分享中国经济高速发展过程中那些具有政府壁垒优势、技术壁垒优势、市场与品牌壁垒优势的企业所带来的持续投资收益，为基金持有人获取长期持续稳定的投资回报。</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4D8F6739" w14:textId="2725BC29"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本基金主要投资于具有良好流动性的金融工具，包括国内依法公开发行上市的股票（含存托凭证）、债券以及法律法规允许基金投资的其他金融工具或金融衍生工具。</w:t>
            </w:r>
          </w:p>
          <w:p w14:paraId="1177D23F"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投资组合中，股票（含存托凭证）投资比例为基金资产的60-95%，其中投资于具有政府壁垒优势、技术壁垒优势、市场与品牌壁垒优势的企业股票的比例不低于本基金股票资产的80％；债券投资比例为基金资产的0-35%；现金以及到期日在一年以内的政府债券投资比例合计不低于基金资产净值的5%，其中，现金不包括结算备付金、存出保证金、应收申购款等。</w:t>
            </w:r>
          </w:p>
          <w:p w14:paraId="3CC97AE0"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如法律法规或监管机构以后允许基金投资的其他品种，基金管理人在履行适当程序后，可以将其纳入投资范围。</w:t>
            </w:r>
          </w:p>
          <w:p w14:paraId="5EC8F0A2" w14:textId="03712A6E" w:rsidR="00574193" w:rsidRDefault="00392803">
            <w:pPr>
              <w:autoSpaceDE w:val="0"/>
              <w:autoSpaceDN w:val="0"/>
              <w:adjustRightInd w:val="0"/>
              <w:spacing w:line="320" w:lineRule="exact"/>
              <w:rPr>
                <w:rFonts w:ascii="方正仿宋简体" w:eastAsia="方正仿宋简体" w:hAnsiTheme="minorEastAsia" w:cs="仿宋_GB2312" w:hint="eastAsia"/>
                <w:kern w:val="0"/>
                <w:szCs w:val="24"/>
              </w:rPr>
            </w:pPr>
            <w:r>
              <w:rPr>
                <w:rFonts w:ascii="方正仿宋简体" w:eastAsia="方正仿宋简体" w:hAnsiTheme="minorEastAsia" w:cs="仿宋_GB2312" w:hint="eastAsia"/>
                <w:kern w:val="0"/>
                <w:szCs w:val="24"/>
              </w:rPr>
              <w:t>因基金规模或市场变化等因素导致本基金投资组合不符合上述规定的，基金管理人将在合理期限内做出调整以符合上述规定。法律、法规另有规定的，从其规定。</w:t>
            </w:r>
            <w:bookmarkStart w:id="0" w:name="_GoBack"/>
            <w:bookmarkEnd w:id="0"/>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实行风险管理下的主动型价值投资策略，即采用以精选个股为核心的多层次复合投资策略。在战略上，强调自上而下的组合管理；在战术上，强调自下而上的精选个股。具体投资策略为：在资产配置和组合管理方面，利用金融工程手段和投资组合</w:t>
            </w:r>
            <w:r>
              <w:rPr>
                <w:rFonts w:ascii="方正仿宋简体" w:eastAsia="方正仿宋简体" w:hAnsiTheme="minorEastAsia" w:cs="仿宋_GB2312" w:hint="eastAsia"/>
                <w:kern w:val="0"/>
                <w:szCs w:val="24"/>
              </w:rPr>
              <w:lastRenderedPageBreak/>
              <w:t>管理技术，保持组合流动性；在选股层面，按照价值投资原则，利用研究人员的专业研究能力和金融工程的财务数据处理能力，从品质过滤和价值精选两个阶段来精选个股，选择价值被低估且具有政府壁垒优势、技术壁垒优势、市场壁垒优势或者品牌壁垒优势等持续增长潜力的股票，作为构建股票组合的基础。本基金的投资策略具有三层结构，即自上而下的资产配置、自上而下的行业选择和自下而上的选股或选债策略。本基金具体投资策略分几个层次：资产配置、股票（含存托凭证）和债券投资策略。</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lastRenderedPageBreak/>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80%×沪深300指数收益率＋20%×中国债券总指数收益率。</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本基金的预期风险低于股票基金，预期收益高于债券基金。本基金属于证券投资基金中的中等风险、中等收益品种。</w:t>
            </w:r>
          </w:p>
        </w:tc>
      </w:tr>
    </w:tbl>
    <w:p w14:paraId="413E559E" w14:textId="77777777" w:rsidR="00574193" w:rsidRDefault="00574193">
      <w:pPr>
        <w:spacing w:line="320" w:lineRule="exact"/>
        <w:rPr>
          <w:rFonts w:ascii="方正仿宋简体" w:eastAsia="方正仿宋简体" w:hAnsiTheme="minorEastAsia" w:cs="仿宋_GB2312"/>
          <w:kern w:val="0"/>
          <w:szCs w:val="24"/>
        </w:rPr>
      </w:pPr>
    </w:p>
    <w:p w14:paraId="0F675BCD" w14:textId="77777777"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noProof/>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D378C09" w14:textId="77777777" w:rsidR="00574193" w:rsidRDefault="00392803">
      <w:pPr>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noProof/>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份额（S）或金额（M）</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/持有期限（N）</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Merge w:val="restart"/>
            <w:vAlign w:val="center"/>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&lt; 50万元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6B9B2767"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0A3EBC32" w14:textId="77777777" w:rsidTr="0074096A">
        <w:trPr>
          <w:trHeight w:val="454"/>
        </w:trPr>
        <w:tc>
          <w:tcPr>
            <w:tcW w:w="1392" w:type="pct"/>
            <w:vMerge/>
            <w:vAlign w:val="center"/>
          </w:tcPr>
          <w:p w14:paraId="5DC45D47"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lastRenderedPageBreak/>
              <w:t>申购费（前收费）</w:t>
            </w:r>
          </w:p>
        </w:tc>
        <w:tc>
          <w:tcPr>
            <w:tcW w:w="1913" w:type="pct"/>
            <w:vAlign w:val="center"/>
          </w:tcPr>
          <w:p w14:paraId="513B523F"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50万元 ≤ M &lt; 100万元</w:t>
            </w:r>
          </w:p>
        </w:tc>
        <w:tc>
          <w:tcPr>
            <w:tcW w:w="1165" w:type="pct"/>
            <w:vAlign w:val="center"/>
          </w:tcPr>
          <w:p w14:paraId="6BCF127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  </w:t>
            </w:r>
          </w:p>
        </w:tc>
        <w:tc>
          <w:tcPr>
            <w:tcW w:w="529" w:type="pct"/>
            <w:vAlign w:val="center"/>
          </w:tcPr>
          <w:p w14:paraId="0204B920"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265F746F" w14:textId="77777777" w:rsidTr="0074096A">
        <w:trPr>
          <w:trHeight w:val="454"/>
        </w:trPr>
        <w:tc>
          <w:tcPr>
            <w:tcW w:w="1392" w:type="pct"/>
            <w:vMerge/>
            <w:vAlign w:val="center"/>
          </w:tcPr>
          <w:p w14:paraId="23C68D28"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21EA7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100万元 ≤ M &lt; 500万元</w:t>
            </w:r>
          </w:p>
        </w:tc>
        <w:tc>
          <w:tcPr>
            <w:tcW w:w="1165" w:type="pct"/>
            <w:vAlign w:val="center"/>
          </w:tcPr>
          <w:p w14:paraId="172D025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0.60%  </w:t>
            </w:r>
          </w:p>
        </w:tc>
        <w:tc>
          <w:tcPr>
            <w:tcW w:w="529" w:type="pct"/>
            <w:vAlign w:val="center"/>
          </w:tcPr>
          <w:p w14:paraId="34BF34F5"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7B041C0A" w14:textId="77777777" w:rsidTr="0074096A">
        <w:trPr>
          <w:trHeight w:val="454"/>
        </w:trPr>
        <w:tc>
          <w:tcPr>
            <w:tcW w:w="1392" w:type="pct"/>
            <w:vMerge/>
            <w:vAlign w:val="center"/>
          </w:tcPr>
          <w:p w14:paraId="370284DA"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76AF7C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M ≥ 500万元</w:t>
            </w:r>
          </w:p>
        </w:tc>
        <w:tc>
          <w:tcPr>
            <w:tcW w:w="1165" w:type="pct"/>
            <w:vAlign w:val="center"/>
          </w:tcPr>
          <w:p w14:paraId="45378AAB"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1000元/笔</w:t>
            </w:r>
          </w:p>
        </w:tc>
        <w:tc>
          <w:tcPr>
            <w:tcW w:w="529" w:type="pct"/>
            <w:vAlign w:val="center"/>
          </w:tcPr>
          <w:p w14:paraId="7ECF8A93"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52B5E16C" w14:textId="77777777" w:rsidTr="0074096A">
        <w:trPr>
          <w:trHeight w:val="454"/>
        </w:trPr>
        <w:tc>
          <w:tcPr>
            <w:tcW w:w="1392" w:type="pct"/>
            <w:vMerge w:val="restart"/>
            <w:vAlign w:val="center"/>
          </w:tcPr>
          <w:p w14:paraId="53A0EFE4"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601FD48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&lt; 365天 </w:t>
            </w:r>
          </w:p>
        </w:tc>
        <w:tc>
          <w:tcPr>
            <w:tcW w:w="1165" w:type="pct"/>
            <w:vAlign w:val="center"/>
          </w:tcPr>
          <w:p w14:paraId="4028D23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1.60%  </w:t>
            </w:r>
          </w:p>
        </w:tc>
        <w:tc>
          <w:tcPr>
            <w:tcW w:w="529" w:type="pct"/>
            <w:vAlign w:val="center"/>
          </w:tcPr>
          <w:p w14:paraId="7915C1B9"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515EFE60" w14:textId="77777777" w:rsidTr="0074096A">
        <w:trPr>
          <w:trHeight w:val="454"/>
        </w:trPr>
        <w:tc>
          <w:tcPr>
            <w:tcW w:w="1392" w:type="pct"/>
            <w:vMerge/>
            <w:vAlign w:val="center"/>
          </w:tcPr>
          <w:p w14:paraId="67B4A889"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18B2882F"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365天 ≤ N &lt; 730天 </w:t>
            </w:r>
          </w:p>
        </w:tc>
        <w:tc>
          <w:tcPr>
            <w:tcW w:w="1165" w:type="pct"/>
            <w:vAlign w:val="center"/>
          </w:tcPr>
          <w:p w14:paraId="141F229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1.30%  </w:t>
            </w:r>
          </w:p>
        </w:tc>
        <w:tc>
          <w:tcPr>
            <w:tcW w:w="529" w:type="pct"/>
            <w:vAlign w:val="center"/>
          </w:tcPr>
          <w:p w14:paraId="097E67C1"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6EA50D0C" w14:textId="77777777" w:rsidTr="0074096A">
        <w:trPr>
          <w:trHeight w:val="454"/>
        </w:trPr>
        <w:tc>
          <w:tcPr>
            <w:tcW w:w="1392" w:type="pct"/>
            <w:vMerge/>
            <w:vAlign w:val="center"/>
          </w:tcPr>
          <w:p w14:paraId="4451899C"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0718EC4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730天 ≤ N &lt; 1095天 </w:t>
            </w:r>
          </w:p>
        </w:tc>
        <w:tc>
          <w:tcPr>
            <w:tcW w:w="1165" w:type="pct"/>
            <w:vAlign w:val="center"/>
          </w:tcPr>
          <w:p w14:paraId="622C577F"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  </w:t>
            </w:r>
          </w:p>
        </w:tc>
        <w:tc>
          <w:tcPr>
            <w:tcW w:w="529" w:type="pct"/>
            <w:vAlign w:val="center"/>
          </w:tcPr>
          <w:p w14:paraId="5A2593D4"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3F3AEC2D" w14:textId="77777777" w:rsidTr="0074096A">
        <w:trPr>
          <w:trHeight w:val="454"/>
        </w:trPr>
        <w:tc>
          <w:tcPr>
            <w:tcW w:w="1392" w:type="pct"/>
            <w:vMerge/>
            <w:vAlign w:val="center"/>
          </w:tcPr>
          <w:p w14:paraId="4CF267D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0A858A7B"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1095天 ≤ N &lt; 1460天 </w:t>
            </w:r>
          </w:p>
        </w:tc>
        <w:tc>
          <w:tcPr>
            <w:tcW w:w="1165" w:type="pct"/>
            <w:vAlign w:val="center"/>
          </w:tcPr>
          <w:p w14:paraId="401E4416"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0.80%  </w:t>
            </w:r>
          </w:p>
        </w:tc>
        <w:tc>
          <w:tcPr>
            <w:tcW w:w="529" w:type="pct"/>
            <w:vAlign w:val="center"/>
          </w:tcPr>
          <w:p w14:paraId="6426CAB2"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4DE4BED8" w14:textId="77777777" w:rsidTr="0074096A">
        <w:trPr>
          <w:trHeight w:val="454"/>
        </w:trPr>
        <w:tc>
          <w:tcPr>
            <w:tcW w:w="1392" w:type="pct"/>
            <w:vMerge/>
            <w:vAlign w:val="center"/>
          </w:tcPr>
          <w:p w14:paraId="52834833"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11759BCE"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1460天 ≤ N &lt; 1825天 </w:t>
            </w:r>
          </w:p>
        </w:tc>
        <w:tc>
          <w:tcPr>
            <w:tcW w:w="1165" w:type="pct"/>
            <w:vAlign w:val="center"/>
          </w:tcPr>
          <w:p w14:paraId="67E6E80E"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  </w:t>
            </w:r>
          </w:p>
        </w:tc>
        <w:tc>
          <w:tcPr>
            <w:tcW w:w="529" w:type="pct"/>
            <w:vAlign w:val="center"/>
          </w:tcPr>
          <w:p w14:paraId="20614019"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7AEB240B" w14:textId="77777777" w:rsidTr="0074096A">
        <w:trPr>
          <w:trHeight w:val="454"/>
        </w:trPr>
        <w:tc>
          <w:tcPr>
            <w:tcW w:w="1392" w:type="pct"/>
            <w:vMerge/>
            <w:vAlign w:val="center"/>
          </w:tcPr>
          <w:p w14:paraId="5B7A5469"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7F05283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 1825天 </w:t>
            </w:r>
          </w:p>
        </w:tc>
        <w:tc>
          <w:tcPr>
            <w:tcW w:w="1165" w:type="pct"/>
            <w:vAlign w:val="center"/>
          </w:tcPr>
          <w:p w14:paraId="03E4D1A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  </w:t>
            </w:r>
          </w:p>
        </w:tc>
        <w:tc>
          <w:tcPr>
            <w:tcW w:w="529" w:type="pct"/>
            <w:vAlign w:val="center"/>
          </w:tcPr>
          <w:p w14:paraId="7C4B96F5" w14:textId="77777777" w:rsidR="00574193" w:rsidRDefault="00574193">
            <w:pPr>
              <w:spacing w:line="320" w:lineRule="exact"/>
              <w:jc w:val="center"/>
              <w:rPr>
                <w:rFonts w:ascii="方正仿宋简体" w:eastAsia="方正仿宋简体" w:hAnsi="方正仿宋简体" w:cs="方正仿宋简体"/>
                <w:bCs/>
                <w:iCs/>
              </w:rPr>
            </w:pPr>
          </w:p>
        </w:tc>
      </w:tr>
      <w:tr w:rsidR="00574193" w14:paraId="7D80AA31" w14:textId="77777777" w:rsidTr="0074096A">
        <w:trPr>
          <w:trHeight w:val="454"/>
        </w:trPr>
        <w:tc>
          <w:tcPr>
            <w:tcW w:w="1392" w:type="pct"/>
            <w:vMerge w:val="restart"/>
            <w:vAlign w:val="center"/>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&lt; 7天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1.50%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50494870" w14:textId="77777777" w:rsidTr="0074096A">
        <w:trPr>
          <w:trHeight w:val="454"/>
        </w:trPr>
        <w:tc>
          <w:tcPr>
            <w:tcW w:w="1392" w:type="pct"/>
            <w:vMerge/>
            <w:vAlign w:val="center"/>
          </w:tcPr>
          <w:p w14:paraId="29D2C1B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155D7B58"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 ≤ N &lt; 730天 </w:t>
            </w:r>
          </w:p>
        </w:tc>
        <w:tc>
          <w:tcPr>
            <w:tcW w:w="1165" w:type="pct"/>
            <w:vAlign w:val="center"/>
          </w:tcPr>
          <w:p w14:paraId="3E51A2DB"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  </w:t>
            </w:r>
          </w:p>
        </w:tc>
        <w:tc>
          <w:tcPr>
            <w:tcW w:w="529" w:type="pct"/>
            <w:vAlign w:val="center"/>
          </w:tcPr>
          <w:p w14:paraId="5CE174C3"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至少25%计入资产</w:t>
            </w:r>
          </w:p>
        </w:tc>
      </w:tr>
      <w:tr w:rsidR="00574193" w14:paraId="543B4CEB" w14:textId="77777777" w:rsidTr="0074096A">
        <w:trPr>
          <w:trHeight w:val="454"/>
        </w:trPr>
        <w:tc>
          <w:tcPr>
            <w:tcW w:w="1392" w:type="pct"/>
            <w:vMerge/>
            <w:vAlign w:val="center"/>
          </w:tcPr>
          <w:p w14:paraId="266CC43C"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35B0F994"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730天 ≤ N &lt; 1095天 </w:t>
            </w:r>
          </w:p>
        </w:tc>
        <w:tc>
          <w:tcPr>
            <w:tcW w:w="1165" w:type="pct"/>
            <w:vAlign w:val="center"/>
          </w:tcPr>
          <w:p w14:paraId="61637D0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0.25%  </w:t>
            </w:r>
          </w:p>
        </w:tc>
        <w:tc>
          <w:tcPr>
            <w:tcW w:w="529" w:type="pct"/>
            <w:vAlign w:val="center"/>
          </w:tcPr>
          <w:p w14:paraId="40C15734"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至少25%计入资产</w:t>
            </w:r>
          </w:p>
        </w:tc>
      </w:tr>
      <w:tr w:rsidR="00574193" w14:paraId="70DDC0F4" w14:textId="77777777" w:rsidTr="0074096A">
        <w:trPr>
          <w:trHeight w:val="454"/>
        </w:trPr>
        <w:tc>
          <w:tcPr>
            <w:tcW w:w="1392" w:type="pct"/>
            <w:vMerge/>
            <w:vAlign w:val="center"/>
          </w:tcPr>
          <w:p w14:paraId="0202A3D9"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3A54727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N ≥ 1095天 </w:t>
            </w:r>
          </w:p>
        </w:tc>
        <w:tc>
          <w:tcPr>
            <w:tcW w:w="1165" w:type="pct"/>
            <w:vAlign w:val="center"/>
          </w:tcPr>
          <w:p w14:paraId="54B7B5F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  </w:t>
            </w:r>
          </w:p>
        </w:tc>
        <w:tc>
          <w:tcPr>
            <w:tcW w:w="529" w:type="pct"/>
            <w:vAlign w:val="center"/>
          </w:tcPr>
          <w:p w14:paraId="26CBBB50" w14:textId="77777777" w:rsidR="00574193" w:rsidRDefault="00574193">
            <w:pPr>
              <w:spacing w:line="320" w:lineRule="exact"/>
              <w:jc w:val="center"/>
              <w:rPr>
                <w:rFonts w:ascii="方正仿宋简体" w:eastAsia="方正仿宋简体" w:hAnsi="方正仿宋简体" w:cs="方正仿宋简体"/>
                <w:bCs/>
                <w:iCs/>
              </w:rPr>
            </w:pP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注：对于通过基金管理人直销渠道申购的养老金客户，享受申购费率1折优惠。对于通过基金管理人直销渠道赎回的养老金客户，将不计入基金资产部分的赎回费免除。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 1.50%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 0.25%</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.基金财产拨划支付的银行费用； 基金合同生效后的信息披露费用； 基金份额持有人大会费用； 基金合同生效后与基金相关的会计师费和律师费； 基金的证券交易费用；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 本基金交易证券等产生的费用和税负，按实际发生额从基金资产扣除。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06404921"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1、本基金的特有风险</w:t>
      </w:r>
    </w:p>
    <w:p w14:paraId="6B422D75"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lastRenderedPageBreak/>
        <w:t>（1）本基金为混合型证券投资基金，存在大类资产配置风险，有可能因为受到经济周期、市场环境或管理人能力等因素的影响，导致基金的大类资产配置比例偏离最优化水平，给基金投资组合的绩效带来风险。同时，本基金在股票投资方面投资于具有政府壁垒优势、技术壁垒优势、市场与品牌壁垒优势的企业股票，可能存在随社会技术进步，原有壁垒不再成立，影响企业内在价值，从而在个股投资决策中给基金带来一定的不确定性，因而存在个股选择风险。</w:t>
      </w:r>
    </w:p>
    <w:p w14:paraId="64D6E3B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（2）权证等金融衍生品投资风险</w:t>
      </w:r>
    </w:p>
    <w:p w14:paraId="22EB4B1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37AC4F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可能投资的股票权证资产的主要风险包括价格波动风险、市场流动性风险、强制平仓风险、合约到期风险、行权失败风险、交易违约风险等。影响权证价格的因素较多，有时会出现价格较大波动，而且权证有到期日，不同的权证合约又有不同的到期日，若到期日当天没有做好行权准备，权证合约就会作废，不再有任何价值。此外，行权失败和交收违约也是股票权证交易可能出现的风险，权证发行方无法在较首日备齐足额资金或证券用于交收履约，行权投资者就会面临行权失败而失去交易机会。</w:t>
      </w:r>
    </w:p>
    <w:p w14:paraId="687D5564"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（3）资产支持证券投资风险</w:t>
      </w:r>
    </w:p>
    <w:p w14:paraId="2B41BDD6"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可能投资的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41C92C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（4）投资于存托凭证的风险</w:t>
      </w:r>
    </w:p>
    <w:p w14:paraId="2737ECE8"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788497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本基金普通风险：市场风险（政策风险、经济周期风险、收益波动风险、利率风险、通货膨胀风险、再投资风险等）、管理风险（决策风险、操作风险、技术风险、估值风险等）、信用风险、流动性风险、合规风险和其他风险。</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中国证监会对本基金募集的核准，并不表明其对本基金的价值和收益作出实质性判断或保证，也不表明投资于本基金没有风险。</w:t>
      </w:r>
    </w:p>
    <w:p w14:paraId="327805A5"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基金管理人依照恪尽职守、诚实信用、谨慎勤勉的原则管理和运用基金财产，但不保证基金一定盈利，也不保证最低收益</w:t>
      </w:r>
    </w:p>
    <w:p w14:paraId="417D5E7D"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基金投资者自依基金合同取得基金份额，即成为基金份额持有人和基金合同的当事人。</w:t>
      </w:r>
    </w:p>
    <w:p w14:paraId="019EA93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以下资料详见基金管理人网站[网址：www.bosera.com][客服电话：95105568]</w:t>
      </w:r>
    </w:p>
    <w:p w14:paraId="3ECD971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14:paraId="702A227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lastRenderedPageBreak/>
        <w:t>(2)定期报告，包括基金季度报告、中期报告和年度报告</w:t>
      </w:r>
    </w:p>
    <w:p w14:paraId="1B796E73"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14:paraId="1C8EFA3C"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14:paraId="34229C13"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w:pPr>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争议解决方式：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1F1BC6" w14:textId="77777777" w:rsidR="00574193" w:rsidRDefault="00574193">
      <w:pPr>
        <w:autoSpaceDE w:val="0"/>
        <w:autoSpaceDN w:val="0"/>
        <w:adjustRightInd w:val="0"/>
        <w:spacing w:line="280" w:lineRule="exact"/>
        <w:jc w:val="left"/>
      </w:pPr>
    </w:p>
    <w:sectPr w:rsidR="00574193" w:rsidSect="00B72E85">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5E20" w14:textId="77777777" w:rsidR="004027B2" w:rsidRDefault="004027B2" w:rsidP="0092395F">
      <w:r>
        <w:separator/>
      </w:r>
    </w:p>
  </w:endnote>
  <w:endnote w:type="continuationSeparator" w:id="0">
    <w:p w14:paraId="4B892EE6" w14:textId="77777777" w:rsidR="004027B2" w:rsidRDefault="004027B2"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1A3977D3" w:rsidR="005C64D0" w:rsidRDefault="005C64D0"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C0FC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C0FC6">
              <w:rPr>
                <w:b/>
                <w:bCs/>
                <w:noProof/>
              </w:rPr>
              <w:t>5</w:t>
            </w:r>
            <w:r>
              <w:rPr>
                <w:b/>
                <w:bCs/>
                <w:sz w:val="24"/>
                <w:szCs w:val="24"/>
              </w:rPr>
              <w:fldChar w:fldCharType="end"/>
            </w:r>
          </w:p>
        </w:sdtContent>
      </w:sdt>
    </w:sdtContent>
  </w:sdt>
  <w:p w14:paraId="664C972D" w14:textId="77777777" w:rsidR="005C64D0" w:rsidRDefault="005C64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E796" w14:textId="77777777" w:rsidR="004027B2" w:rsidRDefault="004027B2" w:rsidP="0092395F">
      <w:r>
        <w:separator/>
      </w:r>
    </w:p>
  </w:footnote>
  <w:footnote w:type="continuationSeparator" w:id="0">
    <w:p w14:paraId="7FE6717E" w14:textId="77777777" w:rsidR="004027B2" w:rsidRDefault="004027B2"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21FE0E"/>
    <w:multiLevelType w:val="singleLevel"/>
    <w:tmpl w:val="5C21FE0E"/>
    <w:lvl w:ilvl="0">
      <w:start w:val="2"/>
      <w:numFmt w:val="chineseCounting"/>
      <w:suff w:val="nothing"/>
      <w:lvlText w:val="（%1）"/>
      <w:lvlJc w:val="left"/>
    </w:lvl>
  </w:abstractNum>
  <w:abstractNum w:abstractNumId="16"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0FC6"/>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7B2"/>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15:docId w15:val="{E89639BF-D1A8-49A3-9D6B-A0561CD9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86939"/>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8734-AB73-4F20-836E-D93E19AF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660</Words>
  <Characters>3765</Characters>
  <Application>Microsoft Office Word</Application>
  <DocSecurity>0</DocSecurity>
  <Lines>31</Lines>
  <Paragraphs>8</Paragraphs>
  <ScaleCrop>false</ScaleCrop>
  <Company>shenduxitong</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汤玲</cp:lastModifiedBy>
  <cp:revision>4</cp:revision>
  <dcterms:created xsi:type="dcterms:W3CDTF">2020-09-04T10:05:00Z</dcterms:created>
  <dcterms:modified xsi:type="dcterms:W3CDTF">2021-04-13T06:09:00Z</dcterms:modified>
</cp:coreProperties>
</file>