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博时裕富沪深300指数证券投资基金（博时沪深300指数A）基金产品资料概要更新</w:t>
      </w:r>
    </w:p>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编制日期：2020年12月23日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送出日期：2020年12月24日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作出投资决定前，请阅读完整的招募说明书等销售文件。</w:t>
      </w:r>
    </w:p>
    <w:p w14:paraId="55CD0E63"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博时沪深300指数</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050002</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博时沪深300指数A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050002</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中国建设银行股份有限公司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2003-08-26</w:t>
            </w:r>
          </w:p>
        </w:tc>
        <w:tc>
          <w:tcPr>
            <w:tcW w:w="999" w:type="pct"/>
            <w:vMerge w:val="restart"/>
            <w:vAlign w:val="center"/>
          </w:tcPr>
          <w:p w14:paraId="3BC161C8"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桂征辉</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2015-07-21</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2009-08-24</w:t>
            </w:r>
          </w:p>
        </w:tc>
      </w:tr>
      <w:tr w:rsidR="00574193" w14:paraId="0C2793EC" w14:textId="77777777" w:rsidTr="005F360D">
        <w:trPr>
          <w:trHeight w:val="454"/>
        </w:trPr>
        <w:tc>
          <w:tcPr>
            <w:tcW w:w="1145" w:type="pct"/>
            <w:vMerge/>
            <w:vAlign w:val="center"/>
          </w:tcPr>
          <w:p w14:paraId="0A714A5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73EC596"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杨振建</w:t>
            </w:r>
          </w:p>
        </w:tc>
        <w:tc>
          <w:tcPr>
            <w:tcW w:w="999" w:type="pct"/>
            <w:vAlign w:val="center"/>
          </w:tcPr>
          <w:p w14:paraId="7E2EEDF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696CC0A6"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2020-12-23</w:t>
            </w:r>
          </w:p>
        </w:tc>
      </w:tr>
      <w:tr w:rsidR="00574193" w14:paraId="4F2B1D13" w14:textId="77777777" w:rsidTr="005F360D">
        <w:trPr>
          <w:trHeight w:val="454"/>
        </w:trPr>
        <w:tc>
          <w:tcPr>
            <w:tcW w:w="1145" w:type="pct"/>
            <w:vMerge/>
            <w:vAlign w:val="center"/>
          </w:tcPr>
          <w:p w14:paraId="65628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0F3A0F51"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416A4C13"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25F550D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2013-09-01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14:paraId="3F166F04" w14:textId="77777777" w:rsidR="00574193" w:rsidRDefault="00392803">
      <w:pPr>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敬请投资者阅读更新的《招募说明书》第十二章了解详细情况。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分享中国资本市场的长期增长。本基金将以对标的指数的长期投资为基本原则，通过严格的投资纪律约束和数量化风险管理手段，力争保持基金净值增长率与标的指数增长率间的正相关度在95%以上，并保持年跟踪误差在4%以下。</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46EFAFD" w14:textId="3F44063A" w:rsidR="00574193" w:rsidRDefault="00392803">
            <w:pPr>
              <w:autoSpaceDE w:val="0"/>
              <w:autoSpaceDN w:val="0"/>
              <w:adjustRightInd w:val="0"/>
              <w:spacing w:line="320" w:lineRule="exact"/>
              <w:rPr>
                <w:rFonts w:ascii="方正仿宋简体" w:eastAsia="方正仿宋简体" w:hAnsiTheme="minorEastAsia" w:cs="仿宋_GB2312" w:hint="eastAsia"/>
                <w:kern w:val="0"/>
                <w:szCs w:val="24"/>
              </w:rPr>
            </w:pPr>
            <w:r>
              <w:rPr>
                <w:rFonts w:ascii="方正仿宋简体" w:eastAsia="方正仿宋简体" w:hAnsiTheme="minorEastAsia" w:cs="仿宋_GB2312" w:hint="eastAsia"/>
                <w:kern w:val="0"/>
                <w:szCs w:val="24"/>
              </w:rPr>
              <w:t>本基金将主要投资于具有良好流动性的金融工具，包括沪深300指数成份股及其备选成份股（含存托凭证）、新股及存托凭证（IPO或增发）以及中国证监会允许基金投资的其它金融工具。</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本基金为被动式指数基金，原则上采用复制的方法，按照个股在标的指数中的基准权重构建指数化投资组合。即调整其股票资产比例为95%以内，现金或者到期日在一年以内的政府债券比例不低于5%。</w:t>
            </w:r>
          </w:p>
          <w:p w14:paraId="109F9826"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1.资产配置原则</w:t>
            </w:r>
          </w:p>
          <w:p w14:paraId="559CB448"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以追求基准指数长期增长的稳定收益为宗旨，采用自上而下的两层次资产配置策略，首先确定基金资产在不同资产类别之间的配置比例，再进一步确定各资产类别中不同证券的配置比例，以完全复制的方法进行组合构建。</w:t>
            </w:r>
          </w:p>
          <w:p w14:paraId="77BD1D1F"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2.资产配置策略</w:t>
            </w:r>
          </w:p>
          <w:p w14:paraId="2D132ED7"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本基金为被动式指数基金，原则上采用复制的方法，按照个股在标的指数中的基准权重构建投资组合。</w:t>
            </w:r>
          </w:p>
          <w:p w14:paraId="53F8BC4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lastRenderedPageBreak/>
              <w:t>3.股票资产配置策略</w:t>
            </w:r>
          </w:p>
          <w:p w14:paraId="085AF4C4"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股票资产投资以沪深300指数为标的指数，原则上采用完全复制标的指数的方法，首先按照标的指数中的行业权重为基准权重，确定行业配置比例；再进一步根据各行业中的个股基准权重，确定行业内的个股配置比例。</w:t>
            </w:r>
          </w:p>
          <w:p w14:paraId="783353B1" w14:textId="3646D711" w:rsidR="00574193" w:rsidRDefault="00392803">
            <w:pPr>
              <w:autoSpaceDE w:val="0"/>
              <w:autoSpaceDN w:val="0"/>
              <w:adjustRightInd w:val="0"/>
              <w:spacing w:line="320" w:lineRule="exact"/>
              <w:rPr>
                <w:rFonts w:ascii="方正仿宋简体" w:eastAsia="方正仿宋简体" w:hAnsiTheme="minorEastAsia" w:cs="仿宋_GB2312" w:hint="eastAsia"/>
                <w:kern w:val="0"/>
                <w:szCs w:val="24"/>
              </w:rPr>
            </w:pPr>
            <w:r>
              <w:rPr>
                <w:rFonts w:ascii="方正仿宋简体" w:eastAsia="方正仿宋简体" w:hAnsiTheme="minorEastAsia" w:cs="仿宋_GB2312" w:hint="eastAsia"/>
                <w:kern w:val="0"/>
                <w:szCs w:val="24"/>
              </w:rPr>
              <w:t>本基金将根据本基金的投资目标和股票投资策略，基于对基础证券投资价值的深入研究判断，进行存托凭证的投资。</w:t>
            </w:r>
          </w:p>
          <w:p w14:paraId="641EABB4"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4、投资组合调整原则</w:t>
            </w:r>
          </w:p>
          <w:p w14:paraId="39AAF6A8" w14:textId="794FE0CF" w:rsidR="00574193" w:rsidRDefault="00392803">
            <w:pPr>
              <w:autoSpaceDE w:val="0"/>
              <w:autoSpaceDN w:val="0"/>
              <w:adjustRightInd w:val="0"/>
              <w:spacing w:line="320" w:lineRule="exact"/>
              <w:rPr>
                <w:rFonts w:ascii="方正仿宋简体" w:eastAsia="方正仿宋简体" w:hAnsiTheme="minorEastAsia" w:cs="仿宋_GB2312" w:hint="eastAsia"/>
                <w:kern w:val="0"/>
                <w:szCs w:val="24"/>
              </w:rPr>
            </w:pPr>
            <w:r>
              <w:rPr>
                <w:rFonts w:ascii="方正仿宋简体" w:eastAsia="方正仿宋简体" w:hAnsiTheme="minorEastAsia" w:cs="仿宋_GB2312" w:hint="eastAsia"/>
                <w:kern w:val="0"/>
                <w:szCs w:val="24"/>
              </w:rPr>
              <w:t>本基金的股票投资为完全复制的被动式指数投资，债券投资为流动性风险约束下的被动式投资，基金所构建的指数化投资组合将根据标的指数成份股及其权重的变动而进行相应调整。同时，本基金还将根据法律法规中的投资比例限制、申购赎回变动情况、新股增发等变化，对基金投资组合进行相应调整，以保证基金份额净值增长率与标的指数间的高度正相关和跟踪误差最小化。</w:t>
            </w:r>
            <w:bookmarkStart w:id="0" w:name="_GoBack"/>
            <w:bookmarkEnd w:id="0"/>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95%的沪深300指数加5%的银行同业存款利率。</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由于本基金采用复制的指数化投资方法，基金净值增长率与标的指数增长率间相偏离的风险尤为突出。本基金将严格执行风险管理程序，最大程度地运用数量化风险管理手段，以偏离度、跟踪误差等风险控制指标对基金资产风险进行实时跟踪控制与管理</w:t>
            </w:r>
          </w:p>
        </w:tc>
      </w:tr>
    </w:tbl>
    <w:p w14:paraId="413E559E" w14:textId="77777777" w:rsidR="00574193" w:rsidRDefault="00574193">
      <w:pPr>
        <w:spacing w:line="320" w:lineRule="exact"/>
        <w:rPr>
          <w:rFonts w:ascii="方正仿宋简体" w:eastAsia="方正仿宋简体" w:hAnsiTheme="minorEastAsia" w:cs="仿宋_GB2312"/>
          <w:kern w:val="0"/>
          <w:szCs w:val="24"/>
        </w:rPr>
      </w:pPr>
    </w:p>
    <w:p w14:paraId="0F675BCD"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noProof/>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D378C09"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noProof/>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投资本基金涉及的费用</w:t>
      </w:r>
    </w:p>
    <w:p w14:paraId="5A17713E" w14:textId="77777777" w:rsidR="00574193" w:rsidRDefault="00392803">
      <w:pPr>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Merge w:val="restart"/>
            <w:vAlign w:val="center"/>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&lt; 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6B9B2767"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631BC1FD" w14:textId="77777777" w:rsidTr="0074096A">
        <w:trPr>
          <w:trHeight w:val="454"/>
        </w:trPr>
        <w:tc>
          <w:tcPr>
            <w:tcW w:w="1392" w:type="pct"/>
            <w:vMerge/>
            <w:vAlign w:val="center"/>
          </w:tcPr>
          <w:p w14:paraId="6EC54C2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2206FB5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 1,000万元</w:t>
            </w:r>
          </w:p>
        </w:tc>
        <w:tc>
          <w:tcPr>
            <w:tcW w:w="1165" w:type="pct"/>
            <w:vAlign w:val="center"/>
          </w:tcPr>
          <w:p w14:paraId="00E5E30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1000元/笔</w:t>
            </w:r>
          </w:p>
        </w:tc>
        <w:tc>
          <w:tcPr>
            <w:tcW w:w="529" w:type="pct"/>
            <w:vAlign w:val="center"/>
          </w:tcPr>
          <w:p w14:paraId="0E44090C"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D80AA31" w14:textId="77777777" w:rsidTr="0074096A">
        <w:trPr>
          <w:trHeight w:val="454"/>
        </w:trPr>
        <w:tc>
          <w:tcPr>
            <w:tcW w:w="1392" w:type="pct"/>
            <w:vMerge w:val="restart"/>
            <w:vAlign w:val="center"/>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&lt; 7天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1AAF63B8" w14:textId="77777777" w:rsidTr="0074096A">
        <w:trPr>
          <w:trHeight w:val="454"/>
        </w:trPr>
        <w:tc>
          <w:tcPr>
            <w:tcW w:w="1392" w:type="pct"/>
            <w:vMerge/>
            <w:vAlign w:val="center"/>
          </w:tcPr>
          <w:p w14:paraId="3AEDE7D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3E39B2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 ≤ N &lt; 730天 </w:t>
            </w:r>
          </w:p>
        </w:tc>
        <w:tc>
          <w:tcPr>
            <w:tcW w:w="1165" w:type="pct"/>
            <w:vAlign w:val="center"/>
          </w:tcPr>
          <w:p w14:paraId="5DC46A5B"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5331059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至少25%计入资产</w:t>
            </w:r>
          </w:p>
        </w:tc>
      </w:tr>
      <w:tr w:rsidR="00574193" w14:paraId="1A6B9A88" w14:textId="77777777" w:rsidTr="0074096A">
        <w:trPr>
          <w:trHeight w:val="454"/>
        </w:trPr>
        <w:tc>
          <w:tcPr>
            <w:tcW w:w="1392" w:type="pct"/>
            <w:vMerge/>
            <w:vAlign w:val="center"/>
          </w:tcPr>
          <w:p w14:paraId="55914DBA"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425FC824"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730天 ≤ N &lt; 1095天 </w:t>
            </w:r>
          </w:p>
        </w:tc>
        <w:tc>
          <w:tcPr>
            <w:tcW w:w="1165" w:type="pct"/>
            <w:vAlign w:val="center"/>
          </w:tcPr>
          <w:p w14:paraId="6F8DD24F"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0.25%  </w:t>
            </w:r>
          </w:p>
        </w:tc>
        <w:tc>
          <w:tcPr>
            <w:tcW w:w="529" w:type="pct"/>
            <w:vAlign w:val="center"/>
          </w:tcPr>
          <w:p w14:paraId="2ECA1A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至少25%计入资产</w:t>
            </w:r>
          </w:p>
        </w:tc>
      </w:tr>
      <w:tr w:rsidR="00574193" w14:paraId="09E624BD" w14:textId="77777777" w:rsidTr="0074096A">
        <w:trPr>
          <w:trHeight w:val="454"/>
        </w:trPr>
        <w:tc>
          <w:tcPr>
            <w:tcW w:w="1392" w:type="pct"/>
            <w:vMerge/>
            <w:vAlign w:val="center"/>
          </w:tcPr>
          <w:p w14:paraId="2D140E4D"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757570F8"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 1095天 </w:t>
            </w:r>
          </w:p>
        </w:tc>
        <w:tc>
          <w:tcPr>
            <w:tcW w:w="1165" w:type="pct"/>
            <w:vAlign w:val="center"/>
          </w:tcPr>
          <w:p w14:paraId="357BC17F"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67BAF216" w14:textId="77777777" w:rsidR="00574193" w:rsidRDefault="00574193">
            <w:pPr>
              <w:spacing w:line="320" w:lineRule="exact"/>
              <w:jc w:val="center"/>
              <w:rPr>
                <w:rFonts w:ascii="方正仿宋简体" w:eastAsia="方正仿宋简体" w:hAnsi="方正仿宋简体" w:cs="方正仿宋简体"/>
                <w:bCs/>
                <w:iCs/>
              </w:rPr>
            </w:pP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注：对于通过基金管理人直销渠道申购的养老金客户，享受申购费率1折优惠。对于通过基金管理人直销渠道赎回的养老金客户，将不计入基金资产部分的赎回费免除。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 0.98%</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 0.20%</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证券交易费用；基金份额持有人大会费用；基金成立后与基金相关的会计师费和律师费；基金分红手续费等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 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5D1C2BF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1、本基金特有的风险</w:t>
      </w:r>
    </w:p>
    <w:p w14:paraId="1CCFA39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（1）与标的指数偏离风险</w:t>
      </w:r>
    </w:p>
    <w:p w14:paraId="64C45B5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本基金的运作目标是追求基金份额净值增长率与标的指数增长率间的正相关度在95%以上，并保证两者间的年跟踪误差在4%以下，本基金存在与标的指数偏离的风险。</w:t>
      </w:r>
    </w:p>
    <w:p w14:paraId="5BF0A68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（2）基金价格变动风险</w:t>
      </w:r>
    </w:p>
    <w:p w14:paraId="3A31F41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为被动式指数基金，原则上将以基金资产中95%左右的比例投资于股票，因此，本基金因股票资产投资比例较大，当所追踪之标的指数因市场原因出现大幅下跌时，会造成基金份额净值的相应下跌，产生跌破基金发行</w:t>
      </w:r>
      <w:r>
        <w:rPr>
          <w:rFonts w:ascii="方正仿宋简体" w:eastAsia="方正仿宋简体" w:hAnsi="方正仿宋简体" w:cs="方正仿宋简体" w:hint="eastAsia"/>
          <w:iCs/>
        </w:rPr>
        <w:lastRenderedPageBreak/>
        <w:t>价的风险。</w:t>
      </w:r>
    </w:p>
    <w:p w14:paraId="296E0F2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（3）更换标的指数风险</w:t>
      </w:r>
    </w:p>
    <w:p w14:paraId="7E47AA6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本基金管理人在基金管理期间有权更换标的指数，由此可能产生风险，标的指数的更换将提前3个月在指定媒介上公告。</w:t>
      </w:r>
    </w:p>
    <w:p w14:paraId="1E61E2F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（4）投资于存托凭证的风险</w:t>
      </w:r>
    </w:p>
    <w:p w14:paraId="2C4D607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F7AB8A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2、本基金一般风险：市场风险、流动性风险、基金估值风险、管理风险、其他风险等。</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中国证监会对本基金募集的核准，并不表明其对本基金的价值和收益作出实质性判断或保证，也不表明投资于本基金没有风险。</w:t>
      </w:r>
    </w:p>
    <w:p w14:paraId="120ACF70"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基金管理人依照恪尽职守、诚实信用、谨慎勤勉的原则管理和运用基金财产，但不保证基金一定盈利，也不保证最低收益</w:t>
      </w:r>
    </w:p>
    <w:p w14:paraId="43C4BD5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基金投资者自依基金合同取得基金份额，即成为基金份额持有人和基金合同的当事人。</w:t>
      </w:r>
    </w:p>
    <w:p w14:paraId="6D9FF77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以下资料详见基金管理人网站[网址：www.bosera.com][客服电话：95105568]</w:t>
      </w:r>
    </w:p>
    <w:p w14:paraId="2CE64430"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14:paraId="18D2ADE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14:paraId="6565F67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14:paraId="13AD2FF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14:paraId="7616C0F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争议解决方式：对于因本协议的订立、内容、履行和解释或与本协议有关的争议，本基金合同当事人应尽量通过协商、调解途径解决。不愿或者不能通过协商、调解解决的，任何一方均有权将争议提交中国国际经济贸易仲裁委员会深圳分会，按照中国国际经济贸易仲裁委员会届时有效的仲裁规则进行仲裁。仲裁裁决是终局的，对当事人均有约束力。</w:t>
      </w:r>
    </w:p>
    <w:p w14:paraId="361F1BC6" w14:textId="77777777" w:rsidR="00574193" w:rsidRDefault="00574193">
      <w:pPr>
        <w:autoSpaceDE w:val="0"/>
        <w:autoSpaceDN w:val="0"/>
        <w:adjustRightInd w:val="0"/>
        <w:spacing w:line="280" w:lineRule="exact"/>
        <w:jc w:val="left"/>
      </w:pPr>
    </w:p>
    <w:sectPr w:rsidR="00574193" w:rsidSect="00B72E85">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3080" w14:textId="77777777" w:rsidR="00B84932" w:rsidRDefault="00B84932" w:rsidP="0092395F">
      <w:r>
        <w:separator/>
      </w:r>
    </w:p>
  </w:endnote>
  <w:endnote w:type="continuationSeparator" w:id="0">
    <w:p w14:paraId="10C6E84E" w14:textId="77777777" w:rsidR="00B84932" w:rsidRDefault="00B84932"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6B418F4C" w:rsidR="005C64D0" w:rsidRDefault="005C64D0"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3CE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3CE8">
              <w:rPr>
                <w:b/>
                <w:bCs/>
                <w:noProof/>
              </w:rPr>
              <w:t>4</w:t>
            </w:r>
            <w:r>
              <w:rPr>
                <w:b/>
                <w:bCs/>
                <w:sz w:val="24"/>
                <w:szCs w:val="24"/>
              </w:rPr>
              <w:fldChar w:fldCharType="end"/>
            </w:r>
          </w:p>
        </w:sdtContent>
      </w:sdt>
    </w:sdtContent>
  </w:sdt>
  <w:p w14:paraId="664C972D" w14:textId="77777777" w:rsidR="005C64D0" w:rsidRDefault="005C64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200E" w14:textId="77777777" w:rsidR="00B84932" w:rsidRDefault="00B84932" w:rsidP="0092395F">
      <w:r>
        <w:separator/>
      </w:r>
    </w:p>
  </w:footnote>
  <w:footnote w:type="continuationSeparator" w:id="0">
    <w:p w14:paraId="603CEDD9" w14:textId="77777777" w:rsidR="00B84932" w:rsidRDefault="00B84932"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21FE0E"/>
    <w:multiLevelType w:val="singleLevel"/>
    <w:tmpl w:val="5C21FE0E"/>
    <w:lvl w:ilvl="0">
      <w:start w:val="2"/>
      <w:numFmt w:val="chineseCounting"/>
      <w:suff w:val="nothing"/>
      <w:lvlText w:val="（%1）"/>
      <w:lvlJc w:val="left"/>
    </w:lvl>
  </w:abstractNum>
  <w:abstractNum w:abstractNumId="16"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CE8"/>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4932"/>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15:docId w15:val="{300E4492-FE6A-42BF-9B83-457E7992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2F5B"/>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3361-C487-47F4-AEFA-09627A18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3029</Characters>
  <Application>Microsoft Office Word</Application>
  <DocSecurity>0</DocSecurity>
  <Lines>25</Lines>
  <Paragraphs>7</Paragraphs>
  <ScaleCrop>false</ScaleCrop>
  <Company>shenduxitong</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汤玲</cp:lastModifiedBy>
  <cp:revision>4</cp:revision>
  <dcterms:created xsi:type="dcterms:W3CDTF">2020-09-04T10:05:00Z</dcterms:created>
  <dcterms:modified xsi:type="dcterms:W3CDTF">2020-12-23T08:14:00Z</dcterms:modified>
</cp:coreProperties>
</file>