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博时信用债纯债债券型证券投资基金（博时信用债纯债债券A）基金产品资料概要更新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2021年3月22日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2021年3月23日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博时信用债纯债债券</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050027</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博时信用债纯债债券A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050027</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2012-09-07</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债券型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张李陵</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2020-07-13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2012-07-01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在谨慎投资的前提下，本基金力争获取高于业绩比较基准的投资收益。</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债券（国家债券、金融债券、公开发行的次级债券、中央银行票据、企业债券、公司债券、地方政府债、央行票据、中期票据、短期融资券、超短期融资券、可分离交易债券的纯债部分）、资产支持证券、债券回购、银行定期存款、同业存单、国债期货等金融工具以及法律法规或中国证监会允许基金投资的其他金融工具（但须符合中国证监会的相关规定）。</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本基金不直接从二级市场买入股票等证券，不参与一级市场的新股申购、增发新股、可转换债券、可交换债券以及可分离交易债券，也不投资二级市场的可转换债券、可交换债券。</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于债券资产比例不低于基金资产的80%，其中投资于信用债的比例不低于非现金基金资产的80%；本基金每个交易日日终在扣除国债期货合约需缴纳的交易保证金后，现金或者到期日在一年以内的政府债券不低于基金资产净值的5%，其中，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所指信用债券包括金融债券（不包括政策性金融债）、公开发行的次级债券、企业债券、公司债券、地方政府债、中期票据、短期融资券、超短期融资券、可分离交易债券的纯债部分等，除国债、央行票据和政策性金融债之外的、非国家信用的固定收益类金融工具。</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本基金通过自上而下和自下而上相结合、定性分析和定量分析相补充的方法，确定资产在非信用类固定收益类证券和信用类固定收益类证券之间的配置比例。</w:t>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充分发挥基金管理人长期积累的信用研究成果，利用自主开发的信用分析系统，深入挖掘价值被低估的标的券种，以获取最大化的信用溢价。本基金采用的投资策略包括：期限结构策略、信用策略、互换策略、息差策略等。本基金将在谨慎投资的前提下，力争获取高于业绩比较基准的投资收益。</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中债信用债总财富指数收益率×90%+1年期定期存款利率（税后）×10%。</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本基金为债券型基金，预期收益和预期风险高于货币市场基金，但低于混合型基金、股票型基金，属于中低风险/收益的产品。</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27_FA010080_2021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50027_FA010080_20210004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注：基金的过往业绩不代表未来表现。本基金的基金合同于2012年9月7日生效，合同生效当年按实际存续期计算，不按整个自然年度进行折算。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0.30%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0.30%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0.10%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对于通过基金管理人直销渠道认购、申购的养老金客户，享受认购费率和申购费率1折优惠。</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0.60%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0.15%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1.本基金的特有风险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对固定收益类品种的投资比例不低于基金资产的80%，因此，本基金需要承担由于市场利率波动造成的风险。特别的，本基金投资于信用评级在AA+到AA-之间的信用债券的比例不低于债券资产的80%，投资比例较高。如果企业债、公司债等信用品种的发债主体信用恶化，组合将面临较高的信用风险。如果债券市场出现整体下跌，本基金将无法完全避免债券市场系统性风险。此外，根据本基金特定的赎回费规则，短期投资本基金的投资者将承担较高的赎回费，具体规则请参考基金费用相关章节。</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等。</w:t>
      </w:r>
    </w:p>
    <!--PH-->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50027_FA010080_20210004_1jpg" Target="media/CN_50050000_050027_FA010080_20210004_1.jpg" Type="http://schemas.openxmlformats.org/officeDocument/2006/relationships/image"/>
<Relationship Id="rIDCN_50050000_050027_FA010080_20210004_3jpg" Target="media/CN_50050000_050027_FA010080_20210004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