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35" w:rsidRDefault="00843229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bookmark0"/>
      <w:bookmarkEnd w:id="0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贵州银行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/>
        </w:rPr>
        <w:t>2018年理财产品年度信息披露</w:t>
      </w:r>
    </w:p>
    <w:p w:rsidR="00376635" w:rsidRDefault="00376635">
      <w:pPr>
        <w:widowControl/>
        <w:spacing w:line="560" w:lineRule="exact"/>
        <w:rPr>
          <w:bCs/>
          <w:sz w:val="32"/>
          <w:szCs w:val="32"/>
        </w:rPr>
      </w:pPr>
    </w:p>
    <w:p w:rsidR="00376635" w:rsidRDefault="00843229">
      <w:pPr>
        <w:widowControl/>
        <w:spacing w:line="560" w:lineRule="exact"/>
        <w:ind w:firstLineChars="200" w:firstLine="640"/>
        <w:rPr>
          <w:bCs/>
          <w:sz w:val="32"/>
          <w:szCs w:val="32"/>
        </w:rPr>
      </w:pP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2018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年，我行理财业务整体平稳运行，未发生风险事件，</w:t>
      </w:r>
      <w:r>
        <w:rPr>
          <w:rFonts w:hint="eastAsia"/>
          <w:bCs/>
          <w:sz w:val="32"/>
          <w:szCs w:val="32"/>
        </w:rPr>
        <w:t>具体情况披露如下：</w:t>
      </w:r>
    </w:p>
    <w:p w:rsidR="00376635" w:rsidRDefault="00843229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理财产品发行情况</w:t>
      </w:r>
    </w:p>
    <w:p w:rsidR="00376635" w:rsidRDefault="00843229">
      <w:pPr>
        <w:widowControl/>
        <w:spacing w:line="560" w:lineRule="exact"/>
        <w:ind w:firstLineChars="200" w:firstLine="640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Cs/>
          <w:sz w:val="32"/>
          <w:szCs w:val="32"/>
          <w:lang w:val="en-US"/>
        </w:rPr>
        <w:t>2018</w:t>
      </w:r>
      <w:r>
        <w:rPr>
          <w:rFonts w:hint="eastAsia"/>
          <w:bCs/>
          <w:sz w:val="32"/>
          <w:szCs w:val="32"/>
        </w:rPr>
        <w:t>年，发行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理财产品共计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132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期，募集理财资金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1,241,251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万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元，加权平均期限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194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天，客户加权平均收益率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4.99%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。</w:t>
      </w:r>
    </w:p>
    <w:p w:rsidR="00376635" w:rsidRDefault="00843229">
      <w:pPr>
        <w:pStyle w:val="a6"/>
        <w:widowControl/>
        <w:numPr>
          <w:ilvl w:val="0"/>
          <w:numId w:val="2"/>
        </w:numPr>
        <w:shd w:val="clear" w:color="auto" w:fill="FFFFFF"/>
        <w:spacing w:beforeAutospacing="0" w:afterAutospacing="0" w:line="560" w:lineRule="exact"/>
        <w:ind w:leftChars="200" w:left="440"/>
        <w:jc w:val="both"/>
        <w:rPr>
          <w:rFonts w:ascii="Times New Roman" w:eastAsia="楷体" w:hAnsi="Times New Roman"/>
          <w:color w:val="333333"/>
          <w:spacing w:val="8"/>
          <w:sz w:val="32"/>
          <w:szCs w:val="32"/>
          <w:shd w:val="clear" w:color="auto" w:fill="FFFFFF"/>
          <w:lang w:val="en-US"/>
        </w:rPr>
      </w:pPr>
      <w:r>
        <w:rPr>
          <w:rFonts w:ascii="Times New Roman" w:eastAsia="楷体" w:hAnsi="Times New Roman" w:hint="eastAsia"/>
          <w:color w:val="333333"/>
          <w:spacing w:val="8"/>
          <w:sz w:val="32"/>
          <w:szCs w:val="32"/>
          <w:shd w:val="clear" w:color="auto" w:fill="FFFFFF"/>
          <w:lang w:val="en-US"/>
        </w:rPr>
        <w:t>按期限分，以短期为主</w:t>
      </w:r>
    </w:p>
    <w:p w:rsidR="00376635" w:rsidRDefault="00843229">
      <w:pPr>
        <w:widowControl/>
        <w:spacing w:line="560" w:lineRule="exact"/>
        <w:ind w:firstLineChars="200" w:firstLine="640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根据客户理财需求，我行发行不同期限理财产品。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360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天以上理财产品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18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期，募集规模仅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163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，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792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万元；中短期理财产品为投资者首选。发行情况详见下表：</w:t>
      </w:r>
    </w:p>
    <w:p w:rsidR="00376635" w:rsidRDefault="00843229">
      <w:pPr>
        <w:widowControl/>
        <w:spacing w:line="0" w:lineRule="atLeast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 w:hint="eastAsia"/>
          <w:bCs/>
          <w:sz w:val="24"/>
          <w:szCs w:val="24"/>
          <w:lang w:val="en-US"/>
        </w:rPr>
        <w:t>单位：万元</w:t>
      </w:r>
    </w:p>
    <w:tbl>
      <w:tblPr>
        <w:tblW w:w="89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24"/>
        <w:gridCol w:w="1500"/>
        <w:gridCol w:w="1275"/>
        <w:gridCol w:w="1065"/>
        <w:gridCol w:w="1305"/>
        <w:gridCol w:w="1305"/>
        <w:gridCol w:w="1530"/>
      </w:tblGrid>
      <w:tr w:rsidR="00376635" w:rsidRPr="007C1476">
        <w:tc>
          <w:tcPr>
            <w:tcW w:w="2424" w:type="dxa"/>
            <w:gridSpan w:val="2"/>
            <w:vAlign w:val="center"/>
          </w:tcPr>
          <w:p w:rsidR="00376635" w:rsidRPr="007C1476" w:rsidRDefault="00376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76635" w:rsidRPr="007C1476" w:rsidRDefault="00843229" w:rsidP="00382C3A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 w:rsidRPr="007C1476">
              <w:rPr>
                <w:rFonts w:hint="eastAsia"/>
                <w:b/>
                <w:bCs/>
                <w:sz w:val="24"/>
                <w:szCs w:val="24"/>
                <w:lang w:val="en-US"/>
              </w:rPr>
              <w:t>90天及</w:t>
            </w:r>
            <w:r w:rsidR="00382C3A" w:rsidRPr="007C1476">
              <w:rPr>
                <w:rFonts w:hint="eastAsia"/>
                <w:b/>
                <w:bCs/>
                <w:sz w:val="24"/>
                <w:szCs w:val="24"/>
                <w:lang w:val="en-US"/>
              </w:rPr>
              <w:t>以下</w:t>
            </w:r>
          </w:p>
        </w:tc>
        <w:tc>
          <w:tcPr>
            <w:tcW w:w="1065" w:type="dxa"/>
            <w:vAlign w:val="center"/>
          </w:tcPr>
          <w:p w:rsidR="00376635" w:rsidRPr="007C1476" w:rsidRDefault="00843229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 w:rsidRPr="007C1476">
              <w:rPr>
                <w:rFonts w:hint="eastAsia"/>
                <w:b/>
                <w:bCs/>
                <w:sz w:val="24"/>
                <w:szCs w:val="24"/>
                <w:lang w:val="en-US"/>
              </w:rPr>
              <w:t>91-180天（含）</w:t>
            </w:r>
          </w:p>
        </w:tc>
        <w:tc>
          <w:tcPr>
            <w:tcW w:w="1305" w:type="dxa"/>
            <w:vAlign w:val="center"/>
          </w:tcPr>
          <w:p w:rsidR="00376635" w:rsidRPr="007C1476" w:rsidRDefault="00843229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 w:rsidRPr="007C1476">
              <w:rPr>
                <w:rFonts w:hint="eastAsia"/>
                <w:b/>
                <w:bCs/>
                <w:sz w:val="24"/>
                <w:szCs w:val="24"/>
                <w:lang w:val="en-US"/>
              </w:rPr>
              <w:t>181-360天（含）</w:t>
            </w:r>
          </w:p>
        </w:tc>
        <w:tc>
          <w:tcPr>
            <w:tcW w:w="1305" w:type="dxa"/>
            <w:vAlign w:val="center"/>
          </w:tcPr>
          <w:p w:rsidR="00376635" w:rsidRPr="007C1476" w:rsidRDefault="00843229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7C1476">
              <w:rPr>
                <w:rFonts w:hint="eastAsia"/>
                <w:b/>
                <w:bCs/>
                <w:sz w:val="24"/>
                <w:szCs w:val="24"/>
                <w:lang w:val="en-US"/>
              </w:rPr>
              <w:t>360天以上</w:t>
            </w:r>
          </w:p>
        </w:tc>
        <w:tc>
          <w:tcPr>
            <w:tcW w:w="1530" w:type="dxa"/>
            <w:vAlign w:val="center"/>
          </w:tcPr>
          <w:p w:rsidR="00376635" w:rsidRPr="007C1476" w:rsidRDefault="00843229">
            <w:pPr>
              <w:jc w:val="center"/>
              <w:rPr>
                <w:b/>
                <w:bCs/>
                <w:sz w:val="24"/>
                <w:szCs w:val="24"/>
              </w:rPr>
            </w:pPr>
            <w:r w:rsidRPr="007C1476">
              <w:rPr>
                <w:rFonts w:hint="eastAsia"/>
                <w:b/>
                <w:bCs/>
                <w:sz w:val="24"/>
                <w:szCs w:val="24"/>
              </w:rPr>
              <w:t>合计</w:t>
            </w:r>
          </w:p>
        </w:tc>
      </w:tr>
      <w:tr w:rsidR="00376635" w:rsidRPr="007C1476">
        <w:tc>
          <w:tcPr>
            <w:tcW w:w="924" w:type="dxa"/>
            <w:vMerge w:val="restart"/>
            <w:vAlign w:val="center"/>
          </w:tcPr>
          <w:p w:rsidR="00376635" w:rsidRPr="007C1476" w:rsidRDefault="00843229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 w:rsidRPr="007C1476">
              <w:rPr>
                <w:rFonts w:hint="eastAsia"/>
                <w:b/>
                <w:bCs/>
                <w:sz w:val="24"/>
                <w:szCs w:val="24"/>
                <w:lang w:val="en-US"/>
              </w:rPr>
              <w:t>2018年</w:t>
            </w:r>
          </w:p>
        </w:tc>
        <w:tc>
          <w:tcPr>
            <w:tcW w:w="1500" w:type="dxa"/>
            <w:vAlign w:val="center"/>
          </w:tcPr>
          <w:p w:rsidR="00376635" w:rsidRPr="007C1476" w:rsidRDefault="00843229">
            <w:pPr>
              <w:jc w:val="center"/>
              <w:rPr>
                <w:rFonts w:eastAsia="宋体"/>
                <w:sz w:val="24"/>
                <w:szCs w:val="24"/>
              </w:rPr>
            </w:pPr>
            <w:r w:rsidRPr="007C1476">
              <w:rPr>
                <w:rFonts w:hint="eastAsia"/>
                <w:sz w:val="24"/>
                <w:szCs w:val="24"/>
              </w:rPr>
              <w:t>期数</w:t>
            </w:r>
          </w:p>
        </w:tc>
        <w:tc>
          <w:tcPr>
            <w:tcW w:w="1275" w:type="dxa"/>
            <w:vAlign w:val="center"/>
          </w:tcPr>
          <w:p w:rsidR="00376635" w:rsidRPr="007C1476" w:rsidRDefault="00843229">
            <w:pPr>
              <w:jc w:val="center"/>
              <w:rPr>
                <w:sz w:val="24"/>
                <w:szCs w:val="24"/>
                <w:lang w:val="en-US"/>
              </w:rPr>
            </w:pPr>
            <w:r w:rsidRPr="007C1476">
              <w:rPr>
                <w:rFonts w:hint="eastAsia"/>
                <w:sz w:val="24"/>
                <w:szCs w:val="24"/>
                <w:lang w:val="en-US"/>
              </w:rPr>
              <w:t>30</w:t>
            </w:r>
          </w:p>
        </w:tc>
        <w:tc>
          <w:tcPr>
            <w:tcW w:w="1065" w:type="dxa"/>
            <w:vAlign w:val="center"/>
          </w:tcPr>
          <w:p w:rsidR="00376635" w:rsidRPr="007C1476" w:rsidRDefault="00843229">
            <w:pPr>
              <w:jc w:val="center"/>
              <w:rPr>
                <w:sz w:val="24"/>
                <w:szCs w:val="24"/>
                <w:lang w:val="en-US"/>
              </w:rPr>
            </w:pPr>
            <w:r w:rsidRPr="007C1476">
              <w:rPr>
                <w:rFonts w:hint="eastAsia"/>
                <w:sz w:val="24"/>
                <w:szCs w:val="24"/>
                <w:lang w:val="en-US"/>
              </w:rPr>
              <w:t>71</w:t>
            </w:r>
          </w:p>
        </w:tc>
        <w:tc>
          <w:tcPr>
            <w:tcW w:w="1305" w:type="dxa"/>
            <w:vAlign w:val="center"/>
          </w:tcPr>
          <w:p w:rsidR="00376635" w:rsidRPr="007C1476" w:rsidRDefault="00843229">
            <w:pPr>
              <w:jc w:val="center"/>
              <w:rPr>
                <w:sz w:val="24"/>
                <w:szCs w:val="24"/>
                <w:lang w:val="en-US"/>
              </w:rPr>
            </w:pPr>
            <w:r w:rsidRPr="007C1476">
              <w:rPr>
                <w:rFonts w:hint="eastAsia"/>
                <w:sz w:val="24"/>
                <w:szCs w:val="24"/>
                <w:lang w:val="en-US"/>
              </w:rPr>
              <w:t>13</w:t>
            </w:r>
          </w:p>
        </w:tc>
        <w:tc>
          <w:tcPr>
            <w:tcW w:w="1305" w:type="dxa"/>
            <w:vAlign w:val="center"/>
          </w:tcPr>
          <w:p w:rsidR="00376635" w:rsidRPr="007C1476" w:rsidRDefault="00843229">
            <w:pPr>
              <w:jc w:val="center"/>
              <w:rPr>
                <w:sz w:val="24"/>
                <w:szCs w:val="24"/>
                <w:lang w:val="en-US"/>
              </w:rPr>
            </w:pPr>
            <w:r w:rsidRPr="007C1476">
              <w:rPr>
                <w:rFonts w:hint="eastAsia"/>
                <w:sz w:val="24"/>
                <w:szCs w:val="24"/>
                <w:lang w:val="en-US"/>
              </w:rPr>
              <w:t>18</w:t>
            </w:r>
          </w:p>
        </w:tc>
        <w:tc>
          <w:tcPr>
            <w:tcW w:w="1530" w:type="dxa"/>
            <w:vAlign w:val="center"/>
          </w:tcPr>
          <w:p w:rsidR="00376635" w:rsidRPr="007C1476" w:rsidRDefault="00843229">
            <w:pPr>
              <w:jc w:val="center"/>
              <w:rPr>
                <w:sz w:val="24"/>
                <w:szCs w:val="24"/>
                <w:lang w:val="en-US"/>
              </w:rPr>
            </w:pPr>
            <w:r w:rsidRPr="007C1476">
              <w:rPr>
                <w:rFonts w:hint="eastAsia"/>
                <w:sz w:val="24"/>
                <w:szCs w:val="24"/>
                <w:lang w:val="en-US"/>
              </w:rPr>
              <w:t>132</w:t>
            </w:r>
          </w:p>
        </w:tc>
      </w:tr>
      <w:tr w:rsidR="00376635" w:rsidRPr="007C1476">
        <w:tc>
          <w:tcPr>
            <w:tcW w:w="924" w:type="dxa"/>
            <w:vMerge/>
            <w:vAlign w:val="center"/>
          </w:tcPr>
          <w:p w:rsidR="00376635" w:rsidRPr="007C1476" w:rsidRDefault="00376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376635" w:rsidRPr="007C1476" w:rsidRDefault="00843229">
            <w:pPr>
              <w:jc w:val="center"/>
              <w:rPr>
                <w:rFonts w:eastAsia="宋体"/>
                <w:sz w:val="24"/>
                <w:szCs w:val="24"/>
              </w:rPr>
            </w:pPr>
            <w:r w:rsidRPr="007C1476">
              <w:rPr>
                <w:rFonts w:hint="eastAsia"/>
                <w:sz w:val="24"/>
                <w:szCs w:val="24"/>
              </w:rPr>
              <w:t>募集金额</w:t>
            </w:r>
            <w:r w:rsidRPr="007C1476">
              <w:rPr>
                <w:rFonts w:hint="eastAsia"/>
                <w:sz w:val="24"/>
                <w:szCs w:val="24"/>
                <w:lang w:val="en-US"/>
              </w:rPr>
              <w:t>(万)</w:t>
            </w:r>
          </w:p>
        </w:tc>
        <w:tc>
          <w:tcPr>
            <w:tcW w:w="1275" w:type="dxa"/>
            <w:vAlign w:val="center"/>
          </w:tcPr>
          <w:p w:rsidR="00376635" w:rsidRPr="007C1476" w:rsidRDefault="00843229">
            <w:pPr>
              <w:jc w:val="center"/>
              <w:rPr>
                <w:sz w:val="24"/>
                <w:szCs w:val="24"/>
                <w:lang w:val="en-US"/>
              </w:rPr>
            </w:pPr>
            <w:r w:rsidRPr="007C1476">
              <w:rPr>
                <w:rFonts w:hint="eastAsia"/>
                <w:sz w:val="24"/>
                <w:szCs w:val="24"/>
                <w:lang w:val="en-US"/>
              </w:rPr>
              <w:t>265，990</w:t>
            </w:r>
          </w:p>
        </w:tc>
        <w:tc>
          <w:tcPr>
            <w:tcW w:w="1065" w:type="dxa"/>
            <w:vAlign w:val="center"/>
          </w:tcPr>
          <w:p w:rsidR="00376635" w:rsidRPr="007C1476" w:rsidRDefault="00843229">
            <w:pPr>
              <w:jc w:val="center"/>
              <w:rPr>
                <w:sz w:val="24"/>
                <w:szCs w:val="24"/>
                <w:lang w:val="en-US"/>
              </w:rPr>
            </w:pPr>
            <w:r w:rsidRPr="007C1476">
              <w:rPr>
                <w:rFonts w:hint="eastAsia"/>
                <w:sz w:val="24"/>
                <w:szCs w:val="24"/>
                <w:lang w:val="en-US"/>
              </w:rPr>
              <w:t>658,759</w:t>
            </w:r>
          </w:p>
        </w:tc>
        <w:tc>
          <w:tcPr>
            <w:tcW w:w="1305" w:type="dxa"/>
            <w:vAlign w:val="center"/>
          </w:tcPr>
          <w:p w:rsidR="00376635" w:rsidRPr="007C1476" w:rsidRDefault="00843229">
            <w:pPr>
              <w:jc w:val="center"/>
              <w:rPr>
                <w:sz w:val="24"/>
                <w:szCs w:val="24"/>
                <w:lang w:val="en-US"/>
              </w:rPr>
            </w:pPr>
            <w:r w:rsidRPr="007C1476">
              <w:rPr>
                <w:rFonts w:hint="eastAsia"/>
                <w:sz w:val="24"/>
                <w:szCs w:val="24"/>
                <w:lang w:val="en-US"/>
              </w:rPr>
              <w:t>152,710</w:t>
            </w:r>
          </w:p>
        </w:tc>
        <w:tc>
          <w:tcPr>
            <w:tcW w:w="1305" w:type="dxa"/>
            <w:vAlign w:val="center"/>
          </w:tcPr>
          <w:p w:rsidR="00376635" w:rsidRPr="007C1476" w:rsidRDefault="00843229">
            <w:pPr>
              <w:jc w:val="center"/>
              <w:rPr>
                <w:sz w:val="24"/>
                <w:szCs w:val="24"/>
                <w:lang w:val="en-US"/>
              </w:rPr>
            </w:pPr>
            <w:r w:rsidRPr="007C1476">
              <w:rPr>
                <w:rFonts w:hint="eastAsia"/>
                <w:sz w:val="24"/>
                <w:szCs w:val="24"/>
                <w:lang w:val="en-US"/>
              </w:rPr>
              <w:t>163,792</w:t>
            </w:r>
          </w:p>
        </w:tc>
        <w:tc>
          <w:tcPr>
            <w:tcW w:w="1530" w:type="dxa"/>
            <w:vAlign w:val="center"/>
          </w:tcPr>
          <w:p w:rsidR="00376635" w:rsidRPr="007C1476" w:rsidRDefault="00843229">
            <w:pPr>
              <w:jc w:val="center"/>
              <w:rPr>
                <w:sz w:val="24"/>
                <w:szCs w:val="24"/>
                <w:lang w:val="en-US"/>
              </w:rPr>
            </w:pPr>
            <w:r w:rsidRPr="007C1476">
              <w:rPr>
                <w:rFonts w:hint="eastAsia"/>
                <w:sz w:val="24"/>
                <w:szCs w:val="24"/>
                <w:lang w:val="en-US"/>
              </w:rPr>
              <w:t>1,241,251</w:t>
            </w:r>
          </w:p>
        </w:tc>
      </w:tr>
      <w:tr w:rsidR="00376635" w:rsidRPr="007C1476">
        <w:tc>
          <w:tcPr>
            <w:tcW w:w="924" w:type="dxa"/>
            <w:vMerge/>
            <w:vAlign w:val="center"/>
          </w:tcPr>
          <w:p w:rsidR="00376635" w:rsidRPr="007C1476" w:rsidRDefault="00376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376635" w:rsidRPr="007C1476" w:rsidRDefault="00843229">
            <w:pPr>
              <w:jc w:val="center"/>
              <w:rPr>
                <w:rFonts w:eastAsia="宋体"/>
                <w:sz w:val="24"/>
                <w:szCs w:val="24"/>
              </w:rPr>
            </w:pPr>
            <w:r w:rsidRPr="007C1476">
              <w:rPr>
                <w:rFonts w:hint="eastAsia"/>
                <w:sz w:val="24"/>
                <w:szCs w:val="24"/>
              </w:rPr>
              <w:t>金额占比</w:t>
            </w:r>
          </w:p>
        </w:tc>
        <w:tc>
          <w:tcPr>
            <w:tcW w:w="1275" w:type="dxa"/>
            <w:vAlign w:val="center"/>
          </w:tcPr>
          <w:p w:rsidR="00376635" w:rsidRPr="007C1476" w:rsidRDefault="00843229">
            <w:pPr>
              <w:jc w:val="center"/>
              <w:textAlignment w:val="center"/>
              <w:rPr>
                <w:sz w:val="24"/>
                <w:szCs w:val="24"/>
              </w:rPr>
            </w:pPr>
            <w:r w:rsidRPr="007C1476">
              <w:rPr>
                <w:sz w:val="24"/>
              </w:rPr>
              <w:t>2</w:t>
            </w:r>
            <w:r w:rsidRPr="007C1476">
              <w:rPr>
                <w:rFonts w:hint="eastAsia"/>
                <w:sz w:val="24"/>
              </w:rPr>
              <w:t>1.42</w:t>
            </w:r>
            <w:r w:rsidRPr="007C1476">
              <w:rPr>
                <w:sz w:val="24"/>
              </w:rPr>
              <w:t>%</w:t>
            </w:r>
          </w:p>
        </w:tc>
        <w:tc>
          <w:tcPr>
            <w:tcW w:w="1065" w:type="dxa"/>
            <w:vAlign w:val="center"/>
          </w:tcPr>
          <w:p w:rsidR="00376635" w:rsidRPr="007C1476" w:rsidRDefault="00843229">
            <w:pPr>
              <w:jc w:val="center"/>
              <w:textAlignment w:val="center"/>
              <w:rPr>
                <w:sz w:val="24"/>
                <w:szCs w:val="24"/>
              </w:rPr>
            </w:pPr>
            <w:r w:rsidRPr="007C1476">
              <w:rPr>
                <w:sz w:val="24"/>
              </w:rPr>
              <w:t>53.</w:t>
            </w:r>
            <w:r w:rsidRPr="007C1476">
              <w:rPr>
                <w:rFonts w:hint="eastAsia"/>
                <w:sz w:val="24"/>
              </w:rPr>
              <w:t>07</w:t>
            </w:r>
            <w:r w:rsidRPr="007C1476">
              <w:rPr>
                <w:sz w:val="24"/>
              </w:rPr>
              <w:t>%</w:t>
            </w:r>
          </w:p>
        </w:tc>
        <w:tc>
          <w:tcPr>
            <w:tcW w:w="1305" w:type="dxa"/>
            <w:vAlign w:val="center"/>
          </w:tcPr>
          <w:p w:rsidR="00376635" w:rsidRPr="007C1476" w:rsidRDefault="00843229">
            <w:pPr>
              <w:jc w:val="center"/>
              <w:textAlignment w:val="center"/>
              <w:rPr>
                <w:sz w:val="24"/>
                <w:szCs w:val="24"/>
              </w:rPr>
            </w:pPr>
            <w:r w:rsidRPr="007C1476">
              <w:rPr>
                <w:sz w:val="24"/>
              </w:rPr>
              <w:t>12.</w:t>
            </w:r>
            <w:r w:rsidRPr="007C1476">
              <w:rPr>
                <w:rFonts w:hint="eastAsia"/>
                <w:sz w:val="24"/>
              </w:rPr>
              <w:t>30</w:t>
            </w:r>
            <w:r w:rsidRPr="007C1476">
              <w:rPr>
                <w:sz w:val="24"/>
              </w:rPr>
              <w:t>%</w:t>
            </w:r>
          </w:p>
        </w:tc>
        <w:tc>
          <w:tcPr>
            <w:tcW w:w="1305" w:type="dxa"/>
            <w:vAlign w:val="center"/>
          </w:tcPr>
          <w:p w:rsidR="00376635" w:rsidRPr="007C1476" w:rsidRDefault="00843229">
            <w:pPr>
              <w:jc w:val="center"/>
              <w:textAlignment w:val="center"/>
              <w:rPr>
                <w:sz w:val="24"/>
                <w:szCs w:val="24"/>
              </w:rPr>
            </w:pPr>
            <w:r w:rsidRPr="007C1476">
              <w:rPr>
                <w:sz w:val="24"/>
              </w:rPr>
              <w:t>1</w:t>
            </w:r>
            <w:r w:rsidRPr="007C1476">
              <w:rPr>
                <w:rFonts w:hint="eastAsia"/>
                <w:sz w:val="24"/>
              </w:rPr>
              <w:t>3.21</w:t>
            </w:r>
            <w:r w:rsidRPr="007C1476">
              <w:rPr>
                <w:sz w:val="24"/>
              </w:rPr>
              <w:t>%</w:t>
            </w:r>
          </w:p>
        </w:tc>
        <w:tc>
          <w:tcPr>
            <w:tcW w:w="1530" w:type="dxa"/>
            <w:vAlign w:val="center"/>
          </w:tcPr>
          <w:p w:rsidR="00376635" w:rsidRPr="007C1476" w:rsidRDefault="00843229">
            <w:pPr>
              <w:jc w:val="center"/>
              <w:rPr>
                <w:sz w:val="24"/>
                <w:szCs w:val="24"/>
                <w:lang w:val="en-US"/>
              </w:rPr>
            </w:pPr>
            <w:r w:rsidRPr="007C1476">
              <w:rPr>
                <w:rFonts w:hint="eastAsia"/>
                <w:sz w:val="24"/>
                <w:szCs w:val="24"/>
                <w:lang w:val="en-US"/>
              </w:rPr>
              <w:t>100.00%</w:t>
            </w:r>
          </w:p>
        </w:tc>
      </w:tr>
    </w:tbl>
    <w:p w:rsidR="00376635" w:rsidRPr="007C1476" w:rsidRDefault="00843229">
      <w:pPr>
        <w:pStyle w:val="a6"/>
        <w:widowControl/>
        <w:numPr>
          <w:ilvl w:val="0"/>
          <w:numId w:val="2"/>
        </w:numPr>
        <w:shd w:val="clear" w:color="auto" w:fill="FFFFFF"/>
        <w:spacing w:beforeAutospacing="0" w:afterAutospacing="0" w:line="560" w:lineRule="exact"/>
        <w:ind w:leftChars="200" w:left="440"/>
        <w:jc w:val="both"/>
        <w:rPr>
          <w:rFonts w:ascii="Times New Roman" w:eastAsia="楷体" w:hAnsi="Times New Roman"/>
          <w:spacing w:val="8"/>
          <w:sz w:val="32"/>
          <w:szCs w:val="32"/>
          <w:shd w:val="clear" w:color="auto" w:fill="FFFFFF"/>
          <w:lang w:val="en-US"/>
        </w:rPr>
      </w:pPr>
      <w:r w:rsidRPr="007C1476">
        <w:rPr>
          <w:rFonts w:ascii="Times New Roman" w:eastAsia="楷体" w:hAnsi="Times New Roman" w:hint="eastAsia"/>
          <w:spacing w:val="8"/>
          <w:sz w:val="32"/>
          <w:szCs w:val="32"/>
          <w:shd w:val="clear" w:color="auto" w:fill="FFFFFF"/>
          <w:lang w:val="en-US"/>
        </w:rPr>
        <w:t>按收益方式分，以非保本浮动收益为主</w:t>
      </w: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5"/>
        <w:gridCol w:w="1457"/>
        <w:gridCol w:w="2301"/>
        <w:gridCol w:w="2514"/>
        <w:gridCol w:w="1962"/>
      </w:tblGrid>
      <w:tr w:rsidR="00376635" w:rsidRPr="007C1476">
        <w:trPr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635" w:rsidRPr="007C1476" w:rsidRDefault="00376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</w:tcBorders>
            <w:vAlign w:val="center"/>
          </w:tcPr>
          <w:p w:rsidR="00376635" w:rsidRPr="007C1476" w:rsidRDefault="00843229" w:rsidP="00382C3A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 w:rsidRPr="007C1476">
              <w:rPr>
                <w:rFonts w:hint="eastAsia"/>
                <w:b/>
                <w:bCs/>
                <w:sz w:val="24"/>
                <w:szCs w:val="24"/>
                <w:lang w:val="en-US"/>
              </w:rPr>
              <w:t>保</w:t>
            </w:r>
            <w:r w:rsidR="00382C3A" w:rsidRPr="007C1476">
              <w:rPr>
                <w:rFonts w:hint="eastAsia"/>
                <w:b/>
                <w:bCs/>
                <w:sz w:val="24"/>
                <w:szCs w:val="24"/>
                <w:lang w:val="en-US"/>
              </w:rPr>
              <w:t>证</w:t>
            </w:r>
            <w:r w:rsidRPr="007C1476">
              <w:rPr>
                <w:rFonts w:hint="eastAsia"/>
                <w:b/>
                <w:bCs/>
                <w:sz w:val="24"/>
                <w:szCs w:val="24"/>
                <w:lang w:val="en-US"/>
              </w:rPr>
              <w:t>收益型</w:t>
            </w:r>
          </w:p>
        </w:tc>
        <w:tc>
          <w:tcPr>
            <w:tcW w:w="2514" w:type="dxa"/>
            <w:tcBorders>
              <w:top w:val="single" w:sz="4" w:space="0" w:color="auto"/>
            </w:tcBorders>
            <w:vAlign w:val="center"/>
          </w:tcPr>
          <w:p w:rsidR="00376635" w:rsidRPr="007C1476" w:rsidRDefault="00843229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 w:rsidRPr="007C1476">
              <w:rPr>
                <w:rFonts w:hint="eastAsia"/>
                <w:b/>
                <w:bCs/>
                <w:sz w:val="24"/>
                <w:szCs w:val="24"/>
                <w:lang w:val="en-US"/>
              </w:rPr>
              <w:t>非保本浮动收益型</w:t>
            </w:r>
          </w:p>
        </w:tc>
        <w:tc>
          <w:tcPr>
            <w:tcW w:w="19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6635" w:rsidRPr="007C1476" w:rsidRDefault="008432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1476">
              <w:rPr>
                <w:rFonts w:hint="eastAsia"/>
                <w:b/>
                <w:bCs/>
                <w:sz w:val="24"/>
                <w:szCs w:val="24"/>
                <w:lang w:val="en-US"/>
              </w:rPr>
              <w:t>合计</w:t>
            </w:r>
          </w:p>
        </w:tc>
      </w:tr>
      <w:tr w:rsidR="00376635">
        <w:trPr>
          <w:jc w:val="center"/>
        </w:trPr>
        <w:tc>
          <w:tcPr>
            <w:tcW w:w="785" w:type="dxa"/>
            <w:vMerge w:val="restart"/>
            <w:tcBorders>
              <w:left w:val="single" w:sz="4" w:space="0" w:color="auto"/>
            </w:tcBorders>
            <w:vAlign w:val="center"/>
          </w:tcPr>
          <w:p w:rsidR="00376635" w:rsidRDefault="00843229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2018年</w:t>
            </w:r>
          </w:p>
        </w:tc>
        <w:tc>
          <w:tcPr>
            <w:tcW w:w="1457" w:type="dxa"/>
            <w:vAlign w:val="center"/>
          </w:tcPr>
          <w:p w:rsidR="00376635" w:rsidRDefault="0084322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期数</w:t>
            </w:r>
          </w:p>
        </w:tc>
        <w:tc>
          <w:tcPr>
            <w:tcW w:w="2301" w:type="dxa"/>
            <w:vAlign w:val="center"/>
          </w:tcPr>
          <w:p w:rsidR="00376635" w:rsidRDefault="008432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11</w:t>
            </w:r>
          </w:p>
        </w:tc>
        <w:tc>
          <w:tcPr>
            <w:tcW w:w="2514" w:type="dxa"/>
            <w:vAlign w:val="center"/>
          </w:tcPr>
          <w:p w:rsidR="00376635" w:rsidRDefault="008432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121</w:t>
            </w:r>
          </w:p>
        </w:tc>
        <w:tc>
          <w:tcPr>
            <w:tcW w:w="1962" w:type="dxa"/>
            <w:tcBorders>
              <w:right w:val="single" w:sz="4" w:space="0" w:color="auto"/>
            </w:tcBorders>
            <w:vAlign w:val="center"/>
          </w:tcPr>
          <w:p w:rsidR="00376635" w:rsidRDefault="008432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132</w:t>
            </w:r>
          </w:p>
        </w:tc>
      </w:tr>
      <w:tr w:rsidR="00376635">
        <w:trPr>
          <w:jc w:val="center"/>
        </w:trPr>
        <w:tc>
          <w:tcPr>
            <w:tcW w:w="785" w:type="dxa"/>
            <w:vMerge/>
            <w:tcBorders>
              <w:left w:val="single" w:sz="4" w:space="0" w:color="auto"/>
            </w:tcBorders>
            <w:vAlign w:val="center"/>
          </w:tcPr>
          <w:p w:rsidR="00376635" w:rsidRDefault="00376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376635" w:rsidRDefault="0084322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募集金额</w:t>
            </w:r>
            <w:r>
              <w:rPr>
                <w:rFonts w:hint="eastAsia"/>
                <w:sz w:val="24"/>
                <w:szCs w:val="24"/>
                <w:lang w:val="en-US"/>
              </w:rPr>
              <w:t>(万)</w:t>
            </w:r>
          </w:p>
        </w:tc>
        <w:tc>
          <w:tcPr>
            <w:tcW w:w="2301" w:type="dxa"/>
            <w:vAlign w:val="center"/>
          </w:tcPr>
          <w:p w:rsidR="00376635" w:rsidRDefault="008432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74,400</w:t>
            </w:r>
          </w:p>
        </w:tc>
        <w:tc>
          <w:tcPr>
            <w:tcW w:w="2514" w:type="dxa"/>
            <w:vAlign w:val="center"/>
          </w:tcPr>
          <w:p w:rsidR="00376635" w:rsidRDefault="008432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1,166,851</w:t>
            </w:r>
          </w:p>
        </w:tc>
        <w:tc>
          <w:tcPr>
            <w:tcW w:w="1962" w:type="dxa"/>
            <w:tcBorders>
              <w:right w:val="single" w:sz="4" w:space="0" w:color="auto"/>
            </w:tcBorders>
            <w:vAlign w:val="center"/>
          </w:tcPr>
          <w:p w:rsidR="00376635" w:rsidRDefault="008432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1,241,251</w:t>
            </w:r>
          </w:p>
        </w:tc>
      </w:tr>
      <w:tr w:rsidR="00376635">
        <w:trPr>
          <w:jc w:val="center"/>
        </w:trPr>
        <w:tc>
          <w:tcPr>
            <w:tcW w:w="785" w:type="dxa"/>
            <w:vMerge/>
            <w:tcBorders>
              <w:left w:val="single" w:sz="4" w:space="0" w:color="auto"/>
            </w:tcBorders>
            <w:vAlign w:val="center"/>
          </w:tcPr>
          <w:p w:rsidR="00376635" w:rsidRDefault="00376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376635" w:rsidRDefault="0084322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金额占比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376635" w:rsidRDefault="00843229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5.99%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:rsidR="00376635" w:rsidRDefault="00843229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94.01%</w:t>
            </w:r>
          </w:p>
        </w:tc>
        <w:tc>
          <w:tcPr>
            <w:tcW w:w="19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6635" w:rsidRDefault="00843229">
            <w:pPr>
              <w:jc w:val="center"/>
              <w:textAlignment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100.00%</w:t>
            </w:r>
          </w:p>
        </w:tc>
      </w:tr>
    </w:tbl>
    <w:p w:rsidR="00382C3A" w:rsidRPr="00382C3A" w:rsidRDefault="00382C3A" w:rsidP="00382C3A">
      <w:pPr>
        <w:pStyle w:val="a6"/>
        <w:widowControl/>
        <w:shd w:val="clear" w:color="auto" w:fill="FFFFFF"/>
        <w:spacing w:beforeAutospacing="0" w:afterAutospacing="0" w:line="560" w:lineRule="exact"/>
        <w:jc w:val="both"/>
        <w:rPr>
          <w:rFonts w:ascii="Times New Roman" w:eastAsia="楷体" w:hAnsi="Times New Roman"/>
          <w:color w:val="333333"/>
          <w:spacing w:val="8"/>
          <w:szCs w:val="24"/>
          <w:shd w:val="clear" w:color="auto" w:fill="FFFFFF"/>
          <w:lang w:val="en-US"/>
        </w:rPr>
      </w:pPr>
      <w:r w:rsidRPr="00382C3A">
        <w:rPr>
          <w:rFonts w:ascii="Times New Roman" w:eastAsia="楷体" w:hAnsi="Times New Roman" w:hint="eastAsia"/>
          <w:color w:val="333333"/>
          <w:spacing w:val="8"/>
          <w:szCs w:val="24"/>
          <w:shd w:val="clear" w:color="auto" w:fill="FFFFFF"/>
          <w:lang w:val="en-US"/>
        </w:rPr>
        <w:t>备注：保证收益型产品均针对对公客户销售。</w:t>
      </w:r>
    </w:p>
    <w:p w:rsidR="00376635" w:rsidRDefault="00382C3A" w:rsidP="00382C3A">
      <w:pPr>
        <w:pStyle w:val="a6"/>
        <w:widowControl/>
        <w:shd w:val="clear" w:color="auto" w:fill="FFFFFF"/>
        <w:spacing w:beforeAutospacing="0" w:afterAutospacing="0" w:line="560" w:lineRule="exact"/>
        <w:ind w:firstLineChars="200" w:firstLine="656"/>
        <w:jc w:val="both"/>
        <w:rPr>
          <w:rFonts w:ascii="Times New Roman" w:eastAsia="楷体" w:hAnsi="Times New Roman"/>
          <w:color w:val="333333"/>
          <w:spacing w:val="8"/>
          <w:sz w:val="32"/>
          <w:szCs w:val="32"/>
          <w:shd w:val="clear" w:color="auto" w:fill="FFFFFF"/>
          <w:lang w:val="en-US"/>
        </w:rPr>
      </w:pPr>
      <w:r>
        <w:rPr>
          <w:rFonts w:ascii="Times New Roman" w:eastAsia="楷体" w:hAnsi="Times New Roman" w:hint="eastAsia"/>
          <w:color w:val="333333"/>
          <w:spacing w:val="8"/>
          <w:sz w:val="32"/>
          <w:szCs w:val="32"/>
          <w:shd w:val="clear" w:color="auto" w:fill="FFFFFF"/>
          <w:lang w:val="en-US"/>
        </w:rPr>
        <w:t>（三）</w:t>
      </w:r>
      <w:r w:rsidR="00843229">
        <w:rPr>
          <w:rFonts w:ascii="Times New Roman" w:eastAsia="楷体" w:hAnsi="Times New Roman" w:hint="eastAsia"/>
          <w:color w:val="333333"/>
          <w:spacing w:val="8"/>
          <w:sz w:val="32"/>
          <w:szCs w:val="32"/>
          <w:shd w:val="clear" w:color="auto" w:fill="FFFFFF"/>
          <w:lang w:val="en-US"/>
        </w:rPr>
        <w:t>按风险等级分，以中低风险理财为主</w:t>
      </w:r>
    </w:p>
    <w:p w:rsidR="00376635" w:rsidRDefault="00843229">
      <w:pPr>
        <w:widowControl/>
        <w:spacing w:line="560" w:lineRule="exact"/>
        <w:ind w:firstLineChars="200" w:firstLine="640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我行理财产品以中低风险为主，满足客户风险控制、稳健发展、均衡成长、保值增值的需要，非常适合保守、谨慎、稳健型投资者购买。从未发行过中高风险理财产品。不同风险等级发行情况详见下表：</w:t>
      </w:r>
    </w:p>
    <w:tbl>
      <w:tblPr>
        <w:tblpPr w:leftFromText="180" w:rightFromText="180" w:vertAnchor="text" w:horzAnchor="page" w:tblpX="1580" w:tblpY="49"/>
        <w:tblOverlap w:val="never"/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24"/>
        <w:gridCol w:w="1500"/>
        <w:gridCol w:w="1275"/>
        <w:gridCol w:w="1065"/>
        <w:gridCol w:w="1305"/>
        <w:gridCol w:w="1305"/>
        <w:gridCol w:w="1530"/>
      </w:tblGrid>
      <w:tr w:rsidR="00376635">
        <w:tc>
          <w:tcPr>
            <w:tcW w:w="2424" w:type="dxa"/>
            <w:gridSpan w:val="2"/>
            <w:vAlign w:val="center"/>
          </w:tcPr>
          <w:p w:rsidR="00376635" w:rsidRDefault="00376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76635" w:rsidRDefault="00843229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R1</w:t>
            </w:r>
          </w:p>
        </w:tc>
        <w:tc>
          <w:tcPr>
            <w:tcW w:w="1065" w:type="dxa"/>
            <w:vAlign w:val="center"/>
          </w:tcPr>
          <w:p w:rsidR="00376635" w:rsidRDefault="00843229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宋体" w:hint="eastAsia"/>
                <w:b/>
                <w:bCs/>
                <w:sz w:val="24"/>
                <w:szCs w:val="24"/>
                <w:lang w:val="en-US"/>
              </w:rPr>
              <w:t>R2</w:t>
            </w:r>
          </w:p>
        </w:tc>
        <w:tc>
          <w:tcPr>
            <w:tcW w:w="1305" w:type="dxa"/>
            <w:vAlign w:val="center"/>
          </w:tcPr>
          <w:p w:rsidR="00376635" w:rsidRDefault="00843229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R3</w:t>
            </w:r>
          </w:p>
        </w:tc>
        <w:tc>
          <w:tcPr>
            <w:tcW w:w="1305" w:type="dxa"/>
            <w:vAlign w:val="center"/>
          </w:tcPr>
          <w:p w:rsidR="00376635" w:rsidRDefault="00843229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R4-R5</w:t>
            </w:r>
          </w:p>
        </w:tc>
        <w:tc>
          <w:tcPr>
            <w:tcW w:w="1530" w:type="dxa"/>
            <w:vAlign w:val="center"/>
          </w:tcPr>
          <w:p w:rsidR="00376635" w:rsidRDefault="008432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合计</w:t>
            </w:r>
          </w:p>
        </w:tc>
      </w:tr>
      <w:tr w:rsidR="00376635">
        <w:tc>
          <w:tcPr>
            <w:tcW w:w="924" w:type="dxa"/>
            <w:vMerge w:val="restart"/>
            <w:vAlign w:val="center"/>
          </w:tcPr>
          <w:p w:rsidR="00376635" w:rsidRDefault="00843229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lastRenderedPageBreak/>
              <w:t>2018年</w:t>
            </w:r>
          </w:p>
        </w:tc>
        <w:tc>
          <w:tcPr>
            <w:tcW w:w="1500" w:type="dxa"/>
            <w:vAlign w:val="center"/>
          </w:tcPr>
          <w:p w:rsidR="00376635" w:rsidRDefault="0084322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期数</w:t>
            </w:r>
          </w:p>
        </w:tc>
        <w:tc>
          <w:tcPr>
            <w:tcW w:w="1275" w:type="dxa"/>
            <w:vAlign w:val="center"/>
          </w:tcPr>
          <w:p w:rsidR="00376635" w:rsidRDefault="008432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11</w:t>
            </w:r>
          </w:p>
        </w:tc>
        <w:tc>
          <w:tcPr>
            <w:tcW w:w="1065" w:type="dxa"/>
            <w:vAlign w:val="center"/>
          </w:tcPr>
          <w:p w:rsidR="00376635" w:rsidRDefault="008432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91</w:t>
            </w:r>
          </w:p>
        </w:tc>
        <w:tc>
          <w:tcPr>
            <w:tcW w:w="1305" w:type="dxa"/>
            <w:vAlign w:val="center"/>
          </w:tcPr>
          <w:p w:rsidR="00376635" w:rsidRDefault="008432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30</w:t>
            </w:r>
          </w:p>
        </w:tc>
        <w:tc>
          <w:tcPr>
            <w:tcW w:w="1305" w:type="dxa"/>
            <w:vAlign w:val="center"/>
          </w:tcPr>
          <w:p w:rsidR="00376635" w:rsidRDefault="008432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1530" w:type="dxa"/>
            <w:vAlign w:val="center"/>
          </w:tcPr>
          <w:p w:rsidR="00376635" w:rsidRDefault="008432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132</w:t>
            </w:r>
          </w:p>
        </w:tc>
      </w:tr>
      <w:tr w:rsidR="00376635">
        <w:tc>
          <w:tcPr>
            <w:tcW w:w="924" w:type="dxa"/>
            <w:vMerge/>
            <w:vAlign w:val="center"/>
          </w:tcPr>
          <w:p w:rsidR="00376635" w:rsidRDefault="00376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376635" w:rsidRDefault="0084322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募集金额</w:t>
            </w:r>
            <w:r>
              <w:rPr>
                <w:rFonts w:hint="eastAsia"/>
                <w:sz w:val="24"/>
                <w:szCs w:val="24"/>
                <w:lang w:val="en-US"/>
              </w:rPr>
              <w:t>(万)</w:t>
            </w:r>
          </w:p>
        </w:tc>
        <w:tc>
          <w:tcPr>
            <w:tcW w:w="1275" w:type="dxa"/>
            <w:vAlign w:val="center"/>
          </w:tcPr>
          <w:p w:rsidR="00376635" w:rsidRDefault="008432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74,400</w:t>
            </w:r>
          </w:p>
        </w:tc>
        <w:tc>
          <w:tcPr>
            <w:tcW w:w="1065" w:type="dxa"/>
            <w:vAlign w:val="center"/>
          </w:tcPr>
          <w:p w:rsidR="00376635" w:rsidRDefault="008432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923,481</w:t>
            </w:r>
          </w:p>
        </w:tc>
        <w:tc>
          <w:tcPr>
            <w:tcW w:w="1305" w:type="dxa"/>
            <w:vAlign w:val="center"/>
          </w:tcPr>
          <w:p w:rsidR="00376635" w:rsidRDefault="008432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243,370</w:t>
            </w:r>
          </w:p>
        </w:tc>
        <w:tc>
          <w:tcPr>
            <w:tcW w:w="1305" w:type="dxa"/>
            <w:vAlign w:val="center"/>
          </w:tcPr>
          <w:p w:rsidR="00376635" w:rsidRDefault="008432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1530" w:type="dxa"/>
            <w:vAlign w:val="center"/>
          </w:tcPr>
          <w:p w:rsidR="00376635" w:rsidRDefault="008432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1,241,251</w:t>
            </w:r>
          </w:p>
        </w:tc>
      </w:tr>
      <w:tr w:rsidR="00376635">
        <w:tc>
          <w:tcPr>
            <w:tcW w:w="924" w:type="dxa"/>
            <w:vMerge/>
            <w:vAlign w:val="center"/>
          </w:tcPr>
          <w:p w:rsidR="00376635" w:rsidRDefault="00376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376635" w:rsidRDefault="0084322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金额占比</w:t>
            </w:r>
          </w:p>
        </w:tc>
        <w:tc>
          <w:tcPr>
            <w:tcW w:w="1275" w:type="dxa"/>
            <w:vAlign w:val="center"/>
          </w:tcPr>
          <w:p w:rsidR="00376635" w:rsidRDefault="00843229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5.99%</w:t>
            </w:r>
          </w:p>
        </w:tc>
        <w:tc>
          <w:tcPr>
            <w:tcW w:w="1065" w:type="dxa"/>
            <w:vAlign w:val="center"/>
          </w:tcPr>
          <w:p w:rsidR="00376635" w:rsidRDefault="00843229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74.40%</w:t>
            </w:r>
          </w:p>
        </w:tc>
        <w:tc>
          <w:tcPr>
            <w:tcW w:w="1305" w:type="dxa"/>
            <w:vAlign w:val="center"/>
          </w:tcPr>
          <w:p w:rsidR="00376635" w:rsidRDefault="00843229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19.61%</w:t>
            </w:r>
          </w:p>
        </w:tc>
        <w:tc>
          <w:tcPr>
            <w:tcW w:w="1305" w:type="dxa"/>
            <w:vAlign w:val="center"/>
          </w:tcPr>
          <w:p w:rsidR="00376635" w:rsidRDefault="00843229">
            <w:pPr>
              <w:jc w:val="center"/>
              <w:textAlignment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1530" w:type="dxa"/>
            <w:vAlign w:val="center"/>
          </w:tcPr>
          <w:p w:rsidR="00376635" w:rsidRDefault="008432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100.00%</w:t>
            </w:r>
          </w:p>
        </w:tc>
      </w:tr>
    </w:tbl>
    <w:p w:rsidR="00376635" w:rsidRDefault="00843229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理财产品兑付情况</w:t>
      </w:r>
    </w:p>
    <w:p w:rsidR="00376635" w:rsidRDefault="00843229">
      <w:pPr>
        <w:widowControl/>
        <w:spacing w:line="560" w:lineRule="exact"/>
        <w:ind w:firstLineChars="200" w:firstLine="64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全年兑付理财产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品共计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136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期</w:t>
      </w:r>
      <w:r>
        <w:rPr>
          <w:rFonts w:hint="eastAsia"/>
          <w:bCs/>
          <w:sz w:val="32"/>
          <w:szCs w:val="32"/>
          <w:lang w:val="en-US"/>
        </w:rPr>
        <w:t>，</w:t>
      </w:r>
      <w:r>
        <w:rPr>
          <w:rFonts w:hint="eastAsia"/>
          <w:bCs/>
          <w:sz w:val="32"/>
          <w:szCs w:val="32"/>
        </w:rPr>
        <w:t>兑付理财本金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1,251,088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万</w:t>
      </w:r>
      <w:r>
        <w:rPr>
          <w:rFonts w:ascii="Times New Roman" w:hAnsi="Times New Roman" w:cs="Times New Roman"/>
          <w:bCs/>
          <w:sz w:val="32"/>
          <w:szCs w:val="32"/>
        </w:rPr>
        <w:t>元</w:t>
      </w:r>
      <w:r>
        <w:rPr>
          <w:rFonts w:hint="eastAsia"/>
          <w:bCs/>
          <w:sz w:val="32"/>
          <w:szCs w:val="32"/>
        </w:rPr>
        <w:t>，实现客户投资收益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28,093</w:t>
      </w:r>
      <w:r w:rsidR="007A6757">
        <w:rPr>
          <w:rFonts w:hint="eastAsia"/>
          <w:bCs/>
          <w:sz w:val="32"/>
          <w:szCs w:val="32"/>
        </w:rPr>
        <w:t>万元</w:t>
      </w:r>
      <w:r w:rsidR="007A6757">
        <w:rPr>
          <w:rFonts w:hint="eastAsia"/>
          <w:bCs/>
          <w:sz w:val="32"/>
          <w:szCs w:val="32"/>
          <w:lang w:val="en-US"/>
        </w:rPr>
        <w:t>。</w:t>
      </w:r>
    </w:p>
    <w:p w:rsidR="00376635" w:rsidRDefault="00843229">
      <w:pPr>
        <w:widowControl/>
        <w:spacing w:line="560" w:lineRule="exact"/>
        <w:ind w:firstLineChars="200" w:firstLine="640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hint="eastAsia"/>
          <w:bCs/>
          <w:sz w:val="32"/>
          <w:szCs w:val="32"/>
          <w:lang w:val="en-US"/>
        </w:rPr>
        <w:t>所有到期理财产品均达预期收益率，并全部按照产品说明书约定完成兑付，客户加权平均收益率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为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4.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91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%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，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其</w:t>
      </w:r>
      <w:r>
        <w:rPr>
          <w:rFonts w:hint="eastAsia"/>
          <w:bCs/>
          <w:sz w:val="32"/>
          <w:szCs w:val="32"/>
          <w:lang w:val="en-US"/>
        </w:rPr>
        <w:t>中，非保本浮动收益型理财产品加权平均收益率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为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5.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12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%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；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机构</w:t>
      </w:r>
      <w:r>
        <w:rPr>
          <w:rFonts w:hint="eastAsia"/>
          <w:bCs/>
          <w:sz w:val="32"/>
          <w:szCs w:val="32"/>
          <w:lang w:val="en-US"/>
        </w:rPr>
        <w:t>客户专属产品加权平均收益率为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3.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29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%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。</w:t>
      </w:r>
    </w:p>
    <w:p w:rsidR="00376635" w:rsidRDefault="00843229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理财产品存续情况</w:t>
      </w:r>
    </w:p>
    <w:p w:rsidR="00376635" w:rsidRDefault="00843229">
      <w:pPr>
        <w:widowControl/>
        <w:spacing w:line="560" w:lineRule="exact"/>
        <w:ind w:firstLineChars="200" w:firstLine="640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hint="eastAsia"/>
          <w:bCs/>
          <w:sz w:val="32"/>
          <w:szCs w:val="32"/>
        </w:rPr>
        <w:t>截至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2018</w:t>
      </w:r>
      <w:r>
        <w:rPr>
          <w:rFonts w:ascii="Times New Roman" w:hAnsi="Times New Roman" w:cs="Times New Roman"/>
          <w:bCs/>
          <w:sz w:val="32"/>
          <w:szCs w:val="32"/>
        </w:rPr>
        <w:t>年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12</w:t>
      </w:r>
      <w:r>
        <w:rPr>
          <w:rFonts w:ascii="Times New Roman" w:hAnsi="Times New Roman" w:cs="Times New Roman"/>
          <w:bCs/>
          <w:sz w:val="32"/>
          <w:szCs w:val="32"/>
        </w:rPr>
        <w:t>月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31</w:t>
      </w:r>
      <w:r>
        <w:rPr>
          <w:rFonts w:ascii="Times New Roman" w:hAnsi="Times New Roman" w:cs="Times New Roman"/>
          <w:bCs/>
          <w:sz w:val="32"/>
          <w:szCs w:val="32"/>
        </w:rPr>
        <w:t>日，我行</w:t>
      </w:r>
      <w:r>
        <w:rPr>
          <w:rFonts w:ascii="Times New Roman" w:hAnsi="Times New Roman" w:cs="Times New Roman" w:hint="eastAsia"/>
          <w:bCs/>
          <w:sz w:val="32"/>
          <w:szCs w:val="32"/>
        </w:rPr>
        <w:t>存续理财产品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66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期，存续</w:t>
      </w:r>
      <w:r>
        <w:rPr>
          <w:rFonts w:ascii="Times New Roman" w:hAnsi="Times New Roman" w:cs="Times New Roman"/>
          <w:bCs/>
          <w:sz w:val="32"/>
          <w:szCs w:val="32"/>
        </w:rPr>
        <w:t>理财余额为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675,985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万元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。</w:t>
      </w:r>
    </w:p>
    <w:p w:rsidR="00376635" w:rsidRDefault="00843229">
      <w:pPr>
        <w:widowControl/>
        <w:spacing w:line="560" w:lineRule="exact"/>
        <w:ind w:left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四、流动性风险</w:t>
      </w:r>
    </w:p>
    <w:p w:rsidR="00376635" w:rsidRDefault="00843229">
      <w:pPr>
        <w:widowControl/>
        <w:spacing w:line="560" w:lineRule="exact"/>
        <w:ind w:firstLineChars="200" w:firstLine="64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我行的理财产品均为</w:t>
      </w:r>
      <w:r w:rsidR="007C1476" w:rsidRPr="007C1476">
        <w:rPr>
          <w:rFonts w:hint="eastAsia"/>
          <w:bCs/>
          <w:sz w:val="32"/>
          <w:szCs w:val="32"/>
        </w:rPr>
        <w:t>固定</w:t>
      </w:r>
      <w:r w:rsidRPr="007C1476">
        <w:rPr>
          <w:rFonts w:hint="eastAsia"/>
          <w:bCs/>
          <w:sz w:val="32"/>
          <w:szCs w:val="32"/>
        </w:rPr>
        <w:t>收益</w:t>
      </w:r>
      <w:r w:rsidR="007C1476" w:rsidRPr="007C1476">
        <w:rPr>
          <w:rFonts w:hint="eastAsia"/>
          <w:bCs/>
          <w:sz w:val="32"/>
          <w:szCs w:val="32"/>
        </w:rPr>
        <w:t>类</w:t>
      </w:r>
      <w:r w:rsidRPr="007C1476">
        <w:rPr>
          <w:rFonts w:hint="eastAsia"/>
          <w:bCs/>
          <w:sz w:val="32"/>
          <w:szCs w:val="32"/>
        </w:rPr>
        <w:t>产品</w:t>
      </w:r>
      <w:r>
        <w:rPr>
          <w:rFonts w:hint="eastAsia"/>
          <w:bCs/>
          <w:sz w:val="32"/>
          <w:szCs w:val="32"/>
        </w:rPr>
        <w:t>，均按期兑付给投资人</w:t>
      </w:r>
      <w:r>
        <w:rPr>
          <w:rFonts w:hint="eastAsia"/>
          <w:bCs/>
          <w:color w:val="FF0000"/>
          <w:sz w:val="32"/>
          <w:szCs w:val="32"/>
        </w:rPr>
        <w:t>，</w:t>
      </w:r>
      <w:r>
        <w:rPr>
          <w:rFonts w:hint="eastAsia"/>
          <w:bCs/>
          <w:sz w:val="32"/>
          <w:szCs w:val="32"/>
        </w:rPr>
        <w:t>但投资者无提前终止权，可能导致投资者需要资金时不能变现，投资者因此会丧失其他投资机会。投资资产均按产品期限进行配置，没有发生</w:t>
      </w:r>
      <w:bookmarkStart w:id="1" w:name="_GoBack"/>
      <w:bookmarkEnd w:id="1"/>
      <w:r>
        <w:rPr>
          <w:rFonts w:hint="eastAsia"/>
          <w:bCs/>
          <w:sz w:val="32"/>
          <w:szCs w:val="32"/>
        </w:rPr>
        <w:t>流动性等原因而造成的产品兑付风险。</w:t>
      </w:r>
    </w:p>
    <w:p w:rsidR="00376635" w:rsidRDefault="00376635">
      <w:pPr>
        <w:widowControl/>
        <w:spacing w:line="560" w:lineRule="exact"/>
        <w:ind w:firstLineChars="200" w:firstLine="600"/>
        <w:jc w:val="right"/>
        <w:rPr>
          <w:rFonts w:cs="Times New Roman"/>
          <w:bCs/>
          <w:sz w:val="30"/>
          <w:szCs w:val="30"/>
          <w:lang w:val="en-US"/>
        </w:rPr>
      </w:pPr>
    </w:p>
    <w:p w:rsidR="00376635" w:rsidRDefault="00376635">
      <w:pPr>
        <w:widowControl/>
        <w:spacing w:line="560" w:lineRule="exact"/>
        <w:ind w:firstLineChars="200" w:firstLine="640"/>
        <w:rPr>
          <w:bCs/>
          <w:sz w:val="32"/>
          <w:szCs w:val="32"/>
        </w:rPr>
      </w:pPr>
    </w:p>
    <w:p w:rsidR="00376635" w:rsidRDefault="00376635">
      <w:pPr>
        <w:widowControl/>
        <w:spacing w:line="560" w:lineRule="exact"/>
        <w:ind w:firstLineChars="200" w:firstLine="600"/>
        <w:rPr>
          <w:color w:val="000000"/>
          <w:sz w:val="30"/>
          <w:szCs w:val="30"/>
          <w:shd w:val="clear" w:color="auto" w:fill="87E2F2"/>
        </w:rPr>
      </w:pPr>
    </w:p>
    <w:p w:rsidR="00376635" w:rsidRDefault="00376635">
      <w:pPr>
        <w:widowControl/>
        <w:spacing w:line="560" w:lineRule="exact"/>
        <w:ind w:firstLineChars="200" w:firstLine="640"/>
        <w:jc w:val="right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:rsidR="00376635" w:rsidRDefault="00376635">
      <w:pPr>
        <w:widowControl/>
        <w:spacing w:line="560" w:lineRule="exact"/>
        <w:ind w:firstLineChars="200" w:firstLine="640"/>
        <w:jc w:val="right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:rsidR="00376635" w:rsidRDefault="00843229">
      <w:pPr>
        <w:widowControl/>
        <w:spacing w:line="560" w:lineRule="exact"/>
        <w:ind w:firstLineChars="200" w:firstLine="640"/>
        <w:jc w:val="right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贵州银行股份有限公司</w:t>
      </w:r>
    </w:p>
    <w:p w:rsidR="00376635" w:rsidRDefault="00843229">
      <w:pPr>
        <w:widowControl/>
        <w:spacing w:line="560" w:lineRule="exact"/>
        <w:ind w:firstLineChars="200" w:firstLine="640"/>
        <w:jc w:val="center"/>
        <w:rPr>
          <w:bCs/>
          <w:sz w:val="32"/>
          <w:szCs w:val="32"/>
          <w:lang w:val="en-US"/>
        </w:rPr>
      </w:pP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 xml:space="preserve">                                                                    2019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年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3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月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25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日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 xml:space="preserve">        </w:t>
      </w:r>
    </w:p>
    <w:sectPr w:rsidR="00376635" w:rsidSect="00376635">
      <w:footerReference w:type="default" r:id="rId8"/>
      <w:pgSz w:w="11910" w:h="16840"/>
      <w:pgMar w:top="1500" w:right="1380" w:bottom="1500" w:left="1500" w:header="0" w:footer="13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4A1" w:rsidRDefault="00A544A1" w:rsidP="00376635">
      <w:r>
        <w:separator/>
      </w:r>
    </w:p>
  </w:endnote>
  <w:endnote w:type="continuationSeparator" w:id="1">
    <w:p w:rsidR="00A544A1" w:rsidRDefault="00A544A1" w:rsidP="00376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635" w:rsidRDefault="00A823AD">
    <w:pPr>
      <w:pStyle w:val="a3"/>
      <w:spacing w:line="14" w:lineRule="auto"/>
      <w:rPr>
        <w:sz w:val="20"/>
      </w:rPr>
    </w:pPr>
    <w:r w:rsidRPr="00A823A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4" o:spid="_x0000_s2049" type="#_x0000_t202" style="position:absolute;margin-left:291.05pt;margin-top:765.1pt;width:13.15pt;height:11pt;z-index:-1;mso-position-horizontal-relative:page;mso-position-vertical-relative:page" o:preferrelative="t" filled="f" stroked="f">
          <v:textbox inset="0,0,0,0">
            <w:txbxContent>
              <w:p w:rsidR="00376635" w:rsidRDefault="00A823AD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 w:rsidR="00843229"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7A6757">
                  <w:rPr>
                    <w:rFonts w:ascii="Calibri"/>
                    <w:noProof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4A1" w:rsidRDefault="00A544A1" w:rsidP="00376635">
      <w:r>
        <w:separator/>
      </w:r>
    </w:p>
  </w:footnote>
  <w:footnote w:type="continuationSeparator" w:id="1">
    <w:p w:rsidR="00A544A1" w:rsidRDefault="00A544A1" w:rsidP="003766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E930D"/>
    <w:multiLevelType w:val="singleLevel"/>
    <w:tmpl w:val="4C1E930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C751CDB"/>
    <w:multiLevelType w:val="singleLevel"/>
    <w:tmpl w:val="5C751CDB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10"/>
  <w:displayHorizontalDrawingGridEvery w:val="2"/>
  <w:characterSpacingControl w:val="doNotCompress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635"/>
    <w:rsid w:val="00376635"/>
    <w:rsid w:val="00382C3A"/>
    <w:rsid w:val="007A6757"/>
    <w:rsid w:val="007C1476"/>
    <w:rsid w:val="00843229"/>
    <w:rsid w:val="00A544A1"/>
    <w:rsid w:val="00A82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er" w:uiPriority="99"/>
    <w:lsdException w:name="footer" w:uiPriority="99"/>
    <w:lsdException w:name="Default Paragraph Font" w:uiPriority="1"/>
    <w:lsdException w:name="Body Text" w:semiHidden="0" w:uiPriority="1" w:unhideWhenUsed="0" w:qFormat="1"/>
    <w:lsdException w:name="Strong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6635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76635"/>
    <w:rPr>
      <w:sz w:val="30"/>
      <w:szCs w:val="30"/>
    </w:rPr>
  </w:style>
  <w:style w:type="paragraph" w:styleId="a4">
    <w:name w:val="footer"/>
    <w:basedOn w:val="a"/>
    <w:uiPriority w:val="99"/>
    <w:semiHidden/>
    <w:unhideWhenUsed/>
    <w:rsid w:val="0037663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"/>
    <w:uiPriority w:val="99"/>
    <w:semiHidden/>
    <w:unhideWhenUsed/>
    <w:rsid w:val="00376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76635"/>
    <w:pPr>
      <w:spacing w:beforeAutospacing="1" w:afterAutospacing="1"/>
    </w:pPr>
    <w:rPr>
      <w:rFonts w:cs="Times New Roman"/>
      <w:sz w:val="24"/>
    </w:rPr>
  </w:style>
  <w:style w:type="character" w:styleId="a7">
    <w:name w:val="Strong"/>
    <w:basedOn w:val="a0"/>
    <w:uiPriority w:val="99"/>
    <w:semiHidden/>
    <w:unhideWhenUsed/>
    <w:rsid w:val="00376635"/>
    <w:rPr>
      <w:b/>
      <w:bCs/>
    </w:rPr>
  </w:style>
  <w:style w:type="paragraph" w:customStyle="1" w:styleId="TOC1">
    <w:name w:val="TOC 1"/>
    <w:basedOn w:val="a"/>
    <w:uiPriority w:val="1"/>
    <w:qFormat/>
    <w:rsid w:val="00376635"/>
    <w:pPr>
      <w:spacing w:before="124"/>
      <w:ind w:right="118"/>
      <w:jc w:val="center"/>
    </w:pPr>
    <w:rPr>
      <w:rFonts w:ascii="黑体" w:eastAsia="黑体" w:hAnsi="黑体" w:cs="黑体"/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376635"/>
    <w:pPr>
      <w:spacing w:before="199"/>
      <w:ind w:right="417"/>
      <w:jc w:val="right"/>
    </w:pPr>
    <w:rPr>
      <w:rFonts w:ascii="黑体" w:eastAsia="黑体" w:hAnsi="黑体" w:cs="黑体"/>
      <w:sz w:val="21"/>
      <w:szCs w:val="21"/>
    </w:rPr>
  </w:style>
  <w:style w:type="paragraph" w:customStyle="1" w:styleId="Heading1">
    <w:name w:val="Heading 1"/>
    <w:basedOn w:val="a"/>
    <w:uiPriority w:val="1"/>
    <w:qFormat/>
    <w:rsid w:val="00376635"/>
    <w:pPr>
      <w:spacing w:before="30"/>
      <w:ind w:left="300"/>
      <w:outlineLvl w:val="1"/>
    </w:pPr>
    <w:rPr>
      <w:rFonts w:ascii="黑体" w:eastAsia="黑体" w:hAnsi="黑体" w:cs="黑体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376635"/>
    <w:pPr>
      <w:ind w:left="724"/>
      <w:outlineLvl w:val="2"/>
    </w:pPr>
    <w:rPr>
      <w:b/>
      <w:bCs/>
      <w:sz w:val="30"/>
      <w:szCs w:val="30"/>
    </w:rPr>
  </w:style>
  <w:style w:type="paragraph" w:customStyle="1" w:styleId="1">
    <w:name w:val="列出段落1"/>
    <w:basedOn w:val="a"/>
    <w:uiPriority w:val="1"/>
    <w:qFormat/>
    <w:rsid w:val="00376635"/>
  </w:style>
  <w:style w:type="paragraph" w:customStyle="1" w:styleId="TableParagraph">
    <w:name w:val="Table Paragraph"/>
    <w:basedOn w:val="a"/>
    <w:uiPriority w:val="1"/>
    <w:qFormat/>
    <w:rsid w:val="00376635"/>
    <w:pPr>
      <w:jc w:val="center"/>
    </w:pPr>
    <w:rPr>
      <w:rFonts w:ascii="Times New Roman" w:eastAsia="Times New Roman" w:hAnsi="Times New Roman" w:cs="Times New Roman"/>
    </w:rPr>
  </w:style>
  <w:style w:type="character" w:customStyle="1" w:styleId="Char">
    <w:name w:val="页眉 Char"/>
    <w:basedOn w:val="a0"/>
    <w:link w:val="a5"/>
    <w:uiPriority w:val="99"/>
    <w:semiHidden/>
    <w:rsid w:val="00376635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1126</Characters>
  <Application>Microsoft Office Word</Application>
  <DocSecurity>0</DocSecurity>
  <Lines>9</Lines>
  <Paragraphs>2</Paragraphs>
  <ScaleCrop>false</ScaleCrop>
  <Company>BANK OF GUIZHOU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贵州银行2018年理财业务年度报告</dc:title>
  <dc:creator>晓宇</dc:creator>
  <cp:lastModifiedBy>王曦</cp:lastModifiedBy>
  <cp:revision>5</cp:revision>
  <cp:lastPrinted>2019-02-28T01:58:00Z</cp:lastPrinted>
  <dcterms:created xsi:type="dcterms:W3CDTF">2019-02-25T03:47:00Z</dcterms:created>
  <dcterms:modified xsi:type="dcterms:W3CDTF">2019-03-25T08:43:00Z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2019-02-25T00:00:00Z</vt:filetime>
  </property>
  <property fmtid="{D5CDD505-2E9C-101B-9397-08002B2CF9AE}" pid="5" name="KSOProductBuildVer">
    <vt:lpwstr>2052-9.1.0.4472</vt:lpwstr>
  </property>
</Properties>
</file>